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868" w:rsidRPr="004E71D5" w:rsidRDefault="00FF5868" w:rsidP="00FF5868">
      <w:pPr>
        <w:spacing w:line="360" w:lineRule="auto"/>
        <w:jc w:val="center"/>
        <w:rPr>
          <w:b/>
        </w:rPr>
      </w:pPr>
      <w:bookmarkStart w:id="0" w:name="_GoBack"/>
      <w:bookmarkEnd w:id="0"/>
      <w:r w:rsidRPr="004E71D5">
        <w:drawing>
          <wp:anchor distT="0" distB="0" distL="114300" distR="114300" simplePos="0" relativeHeight="251660288" behindDoc="0" locked="0" layoutInCell="1" allowOverlap="1">
            <wp:simplePos x="0" y="0"/>
            <wp:positionH relativeFrom="column">
              <wp:posOffset>4700905</wp:posOffset>
            </wp:positionH>
            <wp:positionV relativeFrom="paragraph">
              <wp:posOffset>-356870</wp:posOffset>
            </wp:positionV>
            <wp:extent cx="970280" cy="1086485"/>
            <wp:effectExtent l="19050" t="0" r="1270" b="0"/>
            <wp:wrapNone/>
            <wp:docPr id="3" name="Obrázok 3" descr="Hradné múzeum vo Fiľak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Hradné múzeum vo Fiľakove"/>
                    <pic:cNvPicPr>
                      <a:picLocks noChangeAspect="1" noChangeArrowheads="1"/>
                    </pic:cNvPicPr>
                  </pic:nvPicPr>
                  <pic:blipFill>
                    <a:blip r:embed="rId8" cstate="print"/>
                    <a:srcRect/>
                    <a:stretch>
                      <a:fillRect/>
                    </a:stretch>
                  </pic:blipFill>
                  <pic:spPr bwMode="auto">
                    <a:xfrm>
                      <a:off x="0" y="0"/>
                      <a:ext cx="970280" cy="1086485"/>
                    </a:xfrm>
                    <a:prstGeom prst="rect">
                      <a:avLst/>
                    </a:prstGeom>
                    <a:noFill/>
                    <a:ln w="9525">
                      <a:noFill/>
                      <a:miter lim="800000"/>
                      <a:headEnd/>
                      <a:tailEnd/>
                    </a:ln>
                  </pic:spPr>
                </pic:pic>
              </a:graphicData>
            </a:graphic>
          </wp:anchor>
        </w:drawing>
      </w:r>
      <w:r w:rsidRPr="004E71D5">
        <w:drawing>
          <wp:anchor distT="0" distB="0" distL="114300" distR="114300" simplePos="0" relativeHeight="251659264" behindDoc="0" locked="0" layoutInCell="1" allowOverlap="1">
            <wp:simplePos x="0" y="0"/>
            <wp:positionH relativeFrom="column">
              <wp:posOffset>34925</wp:posOffset>
            </wp:positionH>
            <wp:positionV relativeFrom="paragraph">
              <wp:posOffset>-356870</wp:posOffset>
            </wp:positionV>
            <wp:extent cx="1084580" cy="1086485"/>
            <wp:effectExtent l="19050" t="0" r="1270" b="0"/>
            <wp:wrapNone/>
            <wp:docPr id="2" name="Obrázok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logo"/>
                    <pic:cNvPicPr>
                      <a:picLocks noChangeAspect="1" noChangeArrowheads="1"/>
                    </pic:cNvPicPr>
                  </pic:nvPicPr>
                  <pic:blipFill>
                    <a:blip r:embed="rId9" cstate="print"/>
                    <a:srcRect/>
                    <a:stretch>
                      <a:fillRect/>
                    </a:stretch>
                  </pic:blipFill>
                  <pic:spPr bwMode="auto">
                    <a:xfrm>
                      <a:off x="0" y="0"/>
                      <a:ext cx="1084580" cy="1086485"/>
                    </a:xfrm>
                    <a:prstGeom prst="rect">
                      <a:avLst/>
                    </a:prstGeom>
                    <a:noFill/>
                    <a:ln w="9525">
                      <a:noFill/>
                      <a:miter lim="800000"/>
                      <a:headEnd/>
                      <a:tailEnd/>
                    </a:ln>
                  </pic:spPr>
                </pic:pic>
              </a:graphicData>
            </a:graphic>
          </wp:anchor>
        </w:drawing>
      </w:r>
      <w:r w:rsidRPr="004E71D5">
        <w:rPr>
          <w:b/>
        </w:rPr>
        <w:t>HRADNÉ MÚZEUM VO FIĽAKOVE</w:t>
      </w:r>
    </w:p>
    <w:p w:rsidR="00FF5868" w:rsidRPr="004E71D5" w:rsidRDefault="00FF5868" w:rsidP="00FF5868">
      <w:pPr>
        <w:spacing w:line="360" w:lineRule="auto"/>
        <w:jc w:val="center"/>
        <w:rPr>
          <w:b/>
        </w:rPr>
      </w:pPr>
      <w:r w:rsidRPr="004E71D5">
        <w:rPr>
          <w:b/>
        </w:rPr>
        <w:t>Hlavná ul. 14., 986 01 Fiľakovo</w:t>
      </w:r>
    </w:p>
    <w:p w:rsidR="00FF5868" w:rsidRPr="004E71D5" w:rsidRDefault="00FF5868" w:rsidP="00FF5868">
      <w:pPr>
        <w:spacing w:line="360" w:lineRule="auto"/>
        <w:jc w:val="both"/>
        <w:rPr>
          <w:b/>
        </w:rPr>
      </w:pPr>
    </w:p>
    <w:p w:rsidR="00FF5868" w:rsidRPr="004E71D5" w:rsidRDefault="00FF5868" w:rsidP="00FF5868">
      <w:pPr>
        <w:spacing w:line="360" w:lineRule="auto"/>
        <w:jc w:val="both"/>
        <w:rPr>
          <w:b/>
        </w:rPr>
      </w:pPr>
      <w:r w:rsidRPr="004E71D5">
        <w:rPr>
          <w:b/>
        </w:rPr>
        <w:t>–––––––––––––––––––––––––––––––––––––––––––––––––––––––––––––––––––––––––––</w:t>
      </w:r>
    </w:p>
    <w:p w:rsidR="00FF5868" w:rsidRPr="004E71D5" w:rsidRDefault="00FF5868" w:rsidP="00FF5868">
      <w:pPr>
        <w:spacing w:line="360" w:lineRule="auto"/>
        <w:jc w:val="center"/>
        <w:rPr>
          <w:b/>
          <w:sz w:val="28"/>
          <w:szCs w:val="28"/>
        </w:rPr>
      </w:pPr>
    </w:p>
    <w:p w:rsidR="00FF5868" w:rsidRPr="004E71D5" w:rsidRDefault="00FF5868" w:rsidP="00FF5868">
      <w:pPr>
        <w:spacing w:line="360" w:lineRule="auto"/>
        <w:jc w:val="center"/>
        <w:rPr>
          <w:b/>
          <w:sz w:val="28"/>
          <w:szCs w:val="28"/>
        </w:rPr>
      </w:pPr>
      <w:r w:rsidRPr="004E71D5">
        <w:rPr>
          <w:b/>
          <w:sz w:val="28"/>
          <w:szCs w:val="28"/>
        </w:rPr>
        <w:t>Správa o činnosti HMF v roku 2014</w:t>
      </w:r>
    </w:p>
    <w:p w:rsidR="00FF5868" w:rsidRPr="004E71D5" w:rsidRDefault="00FF5868" w:rsidP="00FF5868">
      <w:pPr>
        <w:spacing w:line="360" w:lineRule="auto"/>
        <w:jc w:val="both"/>
        <w:rPr>
          <w:b/>
        </w:rPr>
      </w:pPr>
    </w:p>
    <w:p w:rsidR="00FF5868" w:rsidRPr="004E71D5" w:rsidRDefault="00FF5868" w:rsidP="00FF5868">
      <w:pPr>
        <w:pStyle w:val="Podtitul"/>
        <w:rPr>
          <w:b/>
          <w:szCs w:val="24"/>
        </w:rPr>
      </w:pPr>
      <w:r w:rsidRPr="004E71D5">
        <w:rPr>
          <w:b/>
          <w:szCs w:val="24"/>
        </w:rPr>
        <w:t>A, Riadenie organizácie, organizačné a personálne zabezpečenie</w:t>
      </w:r>
    </w:p>
    <w:p w:rsidR="00FF5868" w:rsidRPr="004E71D5" w:rsidRDefault="00FF5868" w:rsidP="00FF5868">
      <w:pPr>
        <w:spacing w:line="360" w:lineRule="auto"/>
        <w:ind w:firstLine="709"/>
        <w:jc w:val="both"/>
      </w:pPr>
      <w:r w:rsidRPr="004E71D5">
        <w:t xml:space="preserve">Hradné múzeum vo Fiľakove (HMF) vzniklo v roku 2007. Je príspevkovou organizáciou, ktorá je svojim rozpočtom zapojená na rozpočet mesta Fiľakovo od začiatku r. 2008. Koncom roka 2011 boli k HMF pričlenené ako oddelenia Mestská knižnica vo Fiľakove a Novohradské turisticko-informačné centrum. Inštitúcia si zachovala pôvodný názov, ale od 15. decembra 2011 vykonáva popri múzejnej činnosti a ochrane kultúrneho dedičstva aj knižničnú činnosť a poskytuje aj turisticko-informačné služby. Zlúčením dostala do správy aj ďalšie dve budovy, takže od decembra 2011 spravuje okrem hradného areálu, časti Vigada (mestské múzeum s depozitármi vo dvore) aj druhé krídlo budovy (divadelnú sálu s prislúchajúcimi priestormi), i areál Novohradského turisticko-informačného centra. Po reorganizácii HMF zabezpečuje správu 2,6 hektárového územia v centre mesta a budov troch komplexov s celkovou rozlohou vyše 2.000 metrov štvorcových. </w:t>
      </w:r>
    </w:p>
    <w:p w:rsidR="00FF5868" w:rsidRPr="004E71D5" w:rsidRDefault="00FF5868" w:rsidP="00FF5868">
      <w:pPr>
        <w:spacing w:line="360" w:lineRule="auto"/>
        <w:ind w:firstLine="708"/>
        <w:jc w:val="both"/>
      </w:pPr>
      <w:r w:rsidRPr="004E71D5">
        <w:rPr>
          <w:bCs/>
        </w:rPr>
        <w:t xml:space="preserve">Hlavná činnosť HMF sa člení na dve oblasti: </w:t>
      </w:r>
    </w:p>
    <w:p w:rsidR="00FF5868" w:rsidRPr="004E71D5" w:rsidRDefault="00FF5868" w:rsidP="00FF5868">
      <w:pPr>
        <w:spacing w:line="360" w:lineRule="auto"/>
        <w:jc w:val="both"/>
        <w:rPr>
          <w:bCs/>
        </w:rPr>
      </w:pPr>
      <w:r w:rsidRPr="004E71D5">
        <w:rPr>
          <w:bCs/>
        </w:rPr>
        <w:t>1.</w:t>
      </w:r>
      <w:r w:rsidRPr="004E71D5">
        <w:rPr>
          <w:iCs/>
        </w:rPr>
        <w:t xml:space="preserve"> Hospodársko-správna činnosť zabezpečovaná pre všetky oddelenia riaditeľstvom HMF</w:t>
      </w:r>
    </w:p>
    <w:p w:rsidR="00FF5868" w:rsidRPr="004E71D5" w:rsidRDefault="00FF5868" w:rsidP="00FF5868">
      <w:pPr>
        <w:spacing w:line="360" w:lineRule="auto"/>
        <w:jc w:val="both"/>
        <w:rPr>
          <w:bCs/>
        </w:rPr>
      </w:pPr>
      <w:r w:rsidRPr="004E71D5">
        <w:rPr>
          <w:bCs/>
        </w:rPr>
        <w:t>2. Odborné činnosti zabezpečované troma oddeleniami:</w:t>
      </w:r>
    </w:p>
    <w:p w:rsidR="00FF5868" w:rsidRPr="004E71D5" w:rsidRDefault="00FF5868" w:rsidP="00FF5868">
      <w:pPr>
        <w:spacing w:line="360" w:lineRule="auto"/>
        <w:ind w:left="426"/>
        <w:jc w:val="both"/>
        <w:rPr>
          <w:bCs/>
        </w:rPr>
      </w:pPr>
      <w:r w:rsidRPr="004E71D5">
        <w:rPr>
          <w:bCs/>
        </w:rPr>
        <w:t xml:space="preserve">a, múzejná činnosť a ochrana kultúrneho dedičstva – Hradné múzeum a Mestské </w:t>
      </w:r>
      <w:r w:rsidRPr="004E71D5">
        <w:rPr>
          <w:bCs/>
        </w:rPr>
        <w:tab/>
        <w:t xml:space="preserve">vlastivedné múzeum </w:t>
      </w:r>
    </w:p>
    <w:p w:rsidR="00FF5868" w:rsidRPr="004E71D5" w:rsidRDefault="00FF5868" w:rsidP="00FF5868">
      <w:pPr>
        <w:spacing w:line="360" w:lineRule="auto"/>
        <w:ind w:left="426"/>
        <w:jc w:val="both"/>
      </w:pPr>
      <w:r w:rsidRPr="004E71D5">
        <w:rPr>
          <w:bCs/>
        </w:rPr>
        <w:t xml:space="preserve">b, </w:t>
      </w:r>
      <w:r w:rsidRPr="004E71D5">
        <w:t>knižničná činnosť – Mestská knižnica</w:t>
      </w:r>
    </w:p>
    <w:p w:rsidR="00FF5868" w:rsidRPr="004E71D5" w:rsidRDefault="00FF5868" w:rsidP="00FF5868">
      <w:pPr>
        <w:spacing w:line="360" w:lineRule="auto"/>
        <w:ind w:left="426"/>
        <w:jc w:val="both"/>
        <w:rPr>
          <w:bCs/>
        </w:rPr>
      </w:pPr>
      <w:r w:rsidRPr="004E71D5">
        <w:t xml:space="preserve">c, poskytovanie turisticko-informačných služieb </w:t>
      </w:r>
      <w:r w:rsidRPr="004E71D5">
        <w:rPr>
          <w:bCs/>
        </w:rPr>
        <w:t xml:space="preserve">– Novohradské turisticko-informačné </w:t>
      </w:r>
      <w:r w:rsidRPr="004E71D5">
        <w:rPr>
          <w:bCs/>
        </w:rPr>
        <w:tab/>
        <w:t>centrum</w:t>
      </w:r>
    </w:p>
    <w:p w:rsidR="00FF5868" w:rsidRPr="004E71D5" w:rsidRDefault="00FF5868" w:rsidP="00FF5868">
      <w:pPr>
        <w:spacing w:line="360" w:lineRule="auto"/>
        <w:ind w:firstLine="708"/>
        <w:jc w:val="both"/>
      </w:pPr>
      <w:r w:rsidRPr="004E71D5">
        <w:t xml:space="preserve">Na svoju činnosť môže HMF používať aj zisk z podnikateľskej činnosti po zdanení v rozsahu oprávnenia schváleného zriaďovateľom (malá predajňa suvenírov na hrade a v NTIC). </w:t>
      </w:r>
    </w:p>
    <w:p w:rsidR="00FF5868" w:rsidRPr="004E71D5" w:rsidRDefault="00FF5868" w:rsidP="00FF5868">
      <w:pPr>
        <w:spacing w:line="360" w:lineRule="auto"/>
        <w:ind w:firstLine="708"/>
        <w:jc w:val="both"/>
      </w:pPr>
    </w:p>
    <w:p w:rsidR="00FF5868" w:rsidRPr="004E71D5" w:rsidRDefault="00FF5868" w:rsidP="00FF5868">
      <w:pPr>
        <w:spacing w:line="360" w:lineRule="auto"/>
        <w:ind w:firstLine="708"/>
        <w:jc w:val="both"/>
      </w:pPr>
      <w:r w:rsidRPr="004E71D5">
        <w:t xml:space="preserve">Najvyšší evidenčný počet zamestnancov v roku 2014 bolo 12 – vo fyzických osobách 13, väčšina v kumulovaných funkciách. </w:t>
      </w:r>
    </w:p>
    <w:tbl>
      <w:tblPr>
        <w:tblStyle w:val="Mriekatabuky"/>
        <w:tblW w:w="0" w:type="auto"/>
        <w:tblLook w:val="04A0" w:firstRow="1" w:lastRow="0" w:firstColumn="1" w:lastColumn="0" w:noHBand="0" w:noVBand="1"/>
      </w:tblPr>
      <w:tblGrid>
        <w:gridCol w:w="1151"/>
        <w:gridCol w:w="1163"/>
        <w:gridCol w:w="1151"/>
        <w:gridCol w:w="1163"/>
        <w:gridCol w:w="1152"/>
        <w:gridCol w:w="1163"/>
        <w:gridCol w:w="1152"/>
        <w:gridCol w:w="1163"/>
      </w:tblGrid>
      <w:tr w:rsidR="00FF5868" w:rsidRPr="004E71D5" w:rsidTr="0016092C">
        <w:tc>
          <w:tcPr>
            <w:tcW w:w="2302" w:type="dxa"/>
            <w:gridSpan w:val="2"/>
          </w:tcPr>
          <w:p w:rsidR="00FF5868" w:rsidRPr="004E71D5" w:rsidRDefault="00FF5868" w:rsidP="0016092C">
            <w:pPr>
              <w:spacing w:line="360" w:lineRule="auto"/>
              <w:jc w:val="both"/>
              <w:rPr>
                <w:b/>
              </w:rPr>
            </w:pPr>
            <w:r w:rsidRPr="004E71D5">
              <w:rPr>
                <w:b/>
              </w:rPr>
              <w:lastRenderedPageBreak/>
              <w:t>Múzejná činnosť</w:t>
            </w:r>
          </w:p>
        </w:tc>
        <w:tc>
          <w:tcPr>
            <w:tcW w:w="2302" w:type="dxa"/>
            <w:gridSpan w:val="2"/>
          </w:tcPr>
          <w:p w:rsidR="00FF5868" w:rsidRPr="004E71D5" w:rsidRDefault="00FF5868" w:rsidP="0016092C">
            <w:pPr>
              <w:spacing w:line="360" w:lineRule="auto"/>
              <w:jc w:val="both"/>
              <w:rPr>
                <w:b/>
              </w:rPr>
            </w:pPr>
            <w:r w:rsidRPr="004E71D5">
              <w:rPr>
                <w:b/>
              </w:rPr>
              <w:t>Knižničná činnosť</w:t>
            </w:r>
          </w:p>
        </w:tc>
        <w:tc>
          <w:tcPr>
            <w:tcW w:w="2304" w:type="dxa"/>
            <w:gridSpan w:val="2"/>
          </w:tcPr>
          <w:p w:rsidR="00FF5868" w:rsidRPr="004E71D5" w:rsidRDefault="00FF5868" w:rsidP="0016092C">
            <w:pPr>
              <w:spacing w:line="360" w:lineRule="auto"/>
              <w:jc w:val="both"/>
              <w:rPr>
                <w:b/>
              </w:rPr>
            </w:pPr>
            <w:r w:rsidRPr="004E71D5">
              <w:rPr>
                <w:b/>
                <w:bCs/>
              </w:rPr>
              <w:t>Turisticko-informačné služby</w:t>
            </w:r>
          </w:p>
        </w:tc>
        <w:tc>
          <w:tcPr>
            <w:tcW w:w="2304" w:type="dxa"/>
            <w:gridSpan w:val="2"/>
          </w:tcPr>
          <w:p w:rsidR="00FF5868" w:rsidRPr="004E71D5" w:rsidRDefault="00FF5868" w:rsidP="0016092C">
            <w:pPr>
              <w:spacing w:line="360" w:lineRule="auto"/>
              <w:jc w:val="both"/>
              <w:rPr>
                <w:b/>
              </w:rPr>
            </w:pPr>
            <w:r w:rsidRPr="004E71D5">
              <w:rPr>
                <w:b/>
                <w:iCs/>
              </w:rPr>
              <w:t>Hospodársko-správna činnosť</w:t>
            </w:r>
          </w:p>
        </w:tc>
      </w:tr>
      <w:tr w:rsidR="00FF5868" w:rsidRPr="004E71D5" w:rsidTr="0016092C">
        <w:tc>
          <w:tcPr>
            <w:tcW w:w="1151" w:type="dxa"/>
          </w:tcPr>
          <w:p w:rsidR="00FF5868" w:rsidRPr="004E71D5" w:rsidRDefault="00FF5868" w:rsidP="0016092C">
            <w:pPr>
              <w:spacing w:line="360" w:lineRule="auto"/>
              <w:jc w:val="both"/>
            </w:pPr>
            <w:r w:rsidRPr="004E71D5">
              <w:t>Počet úväzkov</w:t>
            </w:r>
          </w:p>
        </w:tc>
        <w:tc>
          <w:tcPr>
            <w:tcW w:w="1151" w:type="dxa"/>
          </w:tcPr>
          <w:p w:rsidR="00FF5868" w:rsidRPr="004E71D5" w:rsidRDefault="00FF5868" w:rsidP="0016092C">
            <w:pPr>
              <w:spacing w:line="360" w:lineRule="auto"/>
              <w:jc w:val="both"/>
            </w:pPr>
            <w:r w:rsidRPr="004E71D5">
              <w:t>Počet fyzických osôb</w:t>
            </w:r>
          </w:p>
        </w:tc>
        <w:tc>
          <w:tcPr>
            <w:tcW w:w="1151" w:type="dxa"/>
          </w:tcPr>
          <w:p w:rsidR="00FF5868" w:rsidRPr="004E71D5" w:rsidRDefault="00FF5868" w:rsidP="0016092C">
            <w:pPr>
              <w:spacing w:line="360" w:lineRule="auto"/>
              <w:jc w:val="both"/>
            </w:pPr>
            <w:r w:rsidRPr="004E71D5">
              <w:t>Počet úväzkov</w:t>
            </w:r>
          </w:p>
        </w:tc>
        <w:tc>
          <w:tcPr>
            <w:tcW w:w="1151" w:type="dxa"/>
          </w:tcPr>
          <w:p w:rsidR="00FF5868" w:rsidRPr="004E71D5" w:rsidRDefault="00FF5868" w:rsidP="0016092C">
            <w:pPr>
              <w:spacing w:line="360" w:lineRule="auto"/>
              <w:jc w:val="both"/>
            </w:pPr>
            <w:r w:rsidRPr="004E71D5">
              <w:t>Počet fyzických osôb</w:t>
            </w:r>
          </w:p>
        </w:tc>
        <w:tc>
          <w:tcPr>
            <w:tcW w:w="1152" w:type="dxa"/>
          </w:tcPr>
          <w:p w:rsidR="00FF5868" w:rsidRPr="004E71D5" w:rsidRDefault="00FF5868" w:rsidP="0016092C">
            <w:pPr>
              <w:spacing w:line="360" w:lineRule="auto"/>
              <w:jc w:val="both"/>
            </w:pPr>
            <w:r w:rsidRPr="004E71D5">
              <w:t>Počet úväzkov</w:t>
            </w:r>
          </w:p>
        </w:tc>
        <w:tc>
          <w:tcPr>
            <w:tcW w:w="1152" w:type="dxa"/>
          </w:tcPr>
          <w:p w:rsidR="00FF5868" w:rsidRPr="004E71D5" w:rsidRDefault="00FF5868" w:rsidP="0016092C">
            <w:pPr>
              <w:spacing w:line="360" w:lineRule="auto"/>
              <w:jc w:val="both"/>
            </w:pPr>
            <w:r w:rsidRPr="004E71D5">
              <w:t>Počet fyzických osôb</w:t>
            </w:r>
          </w:p>
        </w:tc>
        <w:tc>
          <w:tcPr>
            <w:tcW w:w="1152" w:type="dxa"/>
          </w:tcPr>
          <w:p w:rsidR="00FF5868" w:rsidRPr="004E71D5" w:rsidRDefault="00FF5868" w:rsidP="0016092C">
            <w:pPr>
              <w:spacing w:line="360" w:lineRule="auto"/>
              <w:jc w:val="both"/>
            </w:pPr>
            <w:r w:rsidRPr="004E71D5">
              <w:t>Počet úväzkov</w:t>
            </w:r>
          </w:p>
        </w:tc>
        <w:tc>
          <w:tcPr>
            <w:tcW w:w="1152" w:type="dxa"/>
          </w:tcPr>
          <w:p w:rsidR="00FF5868" w:rsidRPr="004E71D5" w:rsidRDefault="00FF5868" w:rsidP="0016092C">
            <w:pPr>
              <w:spacing w:line="360" w:lineRule="auto"/>
              <w:jc w:val="both"/>
            </w:pPr>
            <w:r w:rsidRPr="004E71D5">
              <w:t>Počet fyzických osôb</w:t>
            </w:r>
          </w:p>
        </w:tc>
      </w:tr>
      <w:tr w:rsidR="00FF5868" w:rsidRPr="004E71D5" w:rsidTr="0016092C">
        <w:tc>
          <w:tcPr>
            <w:tcW w:w="1151" w:type="dxa"/>
          </w:tcPr>
          <w:p w:rsidR="00FF5868" w:rsidRPr="004E71D5" w:rsidRDefault="00FF5868" w:rsidP="0016092C">
            <w:pPr>
              <w:spacing w:line="360" w:lineRule="auto"/>
              <w:jc w:val="both"/>
            </w:pPr>
            <w:r w:rsidRPr="004E71D5">
              <w:t>6</w:t>
            </w:r>
          </w:p>
        </w:tc>
        <w:tc>
          <w:tcPr>
            <w:tcW w:w="1151" w:type="dxa"/>
          </w:tcPr>
          <w:p w:rsidR="00FF5868" w:rsidRPr="004E71D5" w:rsidRDefault="00FF5868" w:rsidP="0016092C">
            <w:pPr>
              <w:spacing w:line="360" w:lineRule="auto"/>
              <w:jc w:val="both"/>
            </w:pPr>
            <w:r w:rsidRPr="004E71D5">
              <w:t>7*</w:t>
            </w:r>
          </w:p>
        </w:tc>
        <w:tc>
          <w:tcPr>
            <w:tcW w:w="1151" w:type="dxa"/>
          </w:tcPr>
          <w:p w:rsidR="00FF5868" w:rsidRPr="004E71D5" w:rsidRDefault="00FF5868" w:rsidP="0016092C">
            <w:pPr>
              <w:spacing w:line="360" w:lineRule="auto"/>
              <w:jc w:val="both"/>
            </w:pPr>
            <w:r w:rsidRPr="004E71D5">
              <w:t>3</w:t>
            </w:r>
          </w:p>
        </w:tc>
        <w:tc>
          <w:tcPr>
            <w:tcW w:w="1151" w:type="dxa"/>
          </w:tcPr>
          <w:p w:rsidR="00FF5868" w:rsidRPr="004E71D5" w:rsidRDefault="00FF5868" w:rsidP="0016092C">
            <w:pPr>
              <w:spacing w:line="360" w:lineRule="auto"/>
              <w:jc w:val="both"/>
            </w:pPr>
            <w:r w:rsidRPr="004E71D5">
              <w:t>3</w:t>
            </w:r>
          </w:p>
        </w:tc>
        <w:tc>
          <w:tcPr>
            <w:tcW w:w="1152" w:type="dxa"/>
          </w:tcPr>
          <w:p w:rsidR="00FF5868" w:rsidRPr="004E71D5" w:rsidRDefault="00FF5868" w:rsidP="0016092C">
            <w:pPr>
              <w:spacing w:line="360" w:lineRule="auto"/>
              <w:jc w:val="both"/>
            </w:pPr>
            <w:r w:rsidRPr="004E71D5">
              <w:t>1</w:t>
            </w:r>
          </w:p>
        </w:tc>
        <w:tc>
          <w:tcPr>
            <w:tcW w:w="1152" w:type="dxa"/>
          </w:tcPr>
          <w:p w:rsidR="00FF5868" w:rsidRPr="004E71D5" w:rsidRDefault="00FF5868" w:rsidP="0016092C">
            <w:pPr>
              <w:spacing w:line="360" w:lineRule="auto"/>
              <w:jc w:val="both"/>
            </w:pPr>
            <w:r w:rsidRPr="004E71D5">
              <w:t>2*</w:t>
            </w:r>
          </w:p>
        </w:tc>
        <w:tc>
          <w:tcPr>
            <w:tcW w:w="1152" w:type="dxa"/>
          </w:tcPr>
          <w:p w:rsidR="00FF5868" w:rsidRPr="004E71D5" w:rsidRDefault="00FF5868" w:rsidP="0016092C">
            <w:pPr>
              <w:spacing w:line="360" w:lineRule="auto"/>
              <w:jc w:val="both"/>
            </w:pPr>
            <w:r w:rsidRPr="004E71D5">
              <w:t>2</w:t>
            </w:r>
          </w:p>
        </w:tc>
        <w:tc>
          <w:tcPr>
            <w:tcW w:w="1152" w:type="dxa"/>
          </w:tcPr>
          <w:p w:rsidR="00FF5868" w:rsidRPr="004E71D5" w:rsidRDefault="00FF5868" w:rsidP="0016092C">
            <w:pPr>
              <w:spacing w:line="360" w:lineRule="auto"/>
              <w:jc w:val="both"/>
            </w:pPr>
            <w:r w:rsidRPr="004E71D5">
              <w:t>2</w:t>
            </w:r>
          </w:p>
        </w:tc>
      </w:tr>
    </w:tbl>
    <w:p w:rsidR="00FF5868" w:rsidRPr="004E71D5" w:rsidRDefault="00FF5868" w:rsidP="00FF5868">
      <w:pPr>
        <w:spacing w:line="360" w:lineRule="auto"/>
        <w:jc w:val="both"/>
        <w:rPr>
          <w:sz w:val="20"/>
          <w:szCs w:val="20"/>
        </w:rPr>
      </w:pPr>
      <w:r w:rsidRPr="004E71D5">
        <w:rPr>
          <w:sz w:val="20"/>
          <w:szCs w:val="20"/>
        </w:rPr>
        <w:t>*  Archeologička pracovala na pol úväzku ako odborný zamestnanec múzea a na pol úväzku ako referentka cestovného ruchu NTIC. Lektorka na hrade pracovala sezonálne na polovičný úväzok.</w:t>
      </w:r>
    </w:p>
    <w:p w:rsidR="00FF5868" w:rsidRPr="004E71D5" w:rsidRDefault="00FF5868" w:rsidP="00FF5868">
      <w:pPr>
        <w:spacing w:line="360" w:lineRule="auto"/>
        <w:jc w:val="both"/>
        <w:rPr>
          <w:sz w:val="20"/>
          <w:szCs w:val="20"/>
        </w:rPr>
      </w:pPr>
    </w:p>
    <w:p w:rsidR="00FF5868" w:rsidRPr="004E71D5" w:rsidRDefault="00FF5868" w:rsidP="00FF5868">
      <w:pPr>
        <w:spacing w:line="360" w:lineRule="auto"/>
        <w:jc w:val="both"/>
        <w:rPr>
          <w:sz w:val="20"/>
          <w:szCs w:val="20"/>
        </w:rPr>
      </w:pPr>
      <w:r w:rsidRPr="004E71D5">
        <w:t>Koncom roka 2014 nastali zmeny v organizačnej štruktúre zamestnacov, nakoľko riaditeľ múzea bol zvolený do funkcie primátora mesta. Osobou dočasne poverenou vedením sa stala zástupkyňa riaditeľa. Ďalšie zmeny nastali aj v Mestsekej knižnici, kde sa pracovný pomer knihovníčky s 0,60 úväzkom zmenil na celý úväzok a pracovná zmluva administratívnej pomocníčky vypršala koncom mesiaca júl. Preto ku koncu roka 2014 bol evidenčný počet zamestnancov 10 – vo fyzických osobách 11.</w:t>
      </w:r>
    </w:p>
    <w:tbl>
      <w:tblPr>
        <w:tblStyle w:val="Mriekatabuky"/>
        <w:tblW w:w="0" w:type="auto"/>
        <w:tblLook w:val="04A0" w:firstRow="1" w:lastRow="0" w:firstColumn="1" w:lastColumn="0" w:noHBand="0" w:noVBand="1"/>
      </w:tblPr>
      <w:tblGrid>
        <w:gridCol w:w="1151"/>
        <w:gridCol w:w="1163"/>
        <w:gridCol w:w="1151"/>
        <w:gridCol w:w="1163"/>
        <w:gridCol w:w="1152"/>
        <w:gridCol w:w="1163"/>
        <w:gridCol w:w="1152"/>
        <w:gridCol w:w="1163"/>
      </w:tblGrid>
      <w:tr w:rsidR="00FF5868" w:rsidRPr="004E71D5" w:rsidTr="0016092C">
        <w:tc>
          <w:tcPr>
            <w:tcW w:w="2314" w:type="dxa"/>
            <w:gridSpan w:val="2"/>
          </w:tcPr>
          <w:p w:rsidR="00FF5868" w:rsidRPr="004E71D5" w:rsidRDefault="00FF5868" w:rsidP="0016092C">
            <w:pPr>
              <w:spacing w:line="360" w:lineRule="auto"/>
              <w:jc w:val="both"/>
              <w:rPr>
                <w:b/>
              </w:rPr>
            </w:pPr>
            <w:r w:rsidRPr="004E71D5">
              <w:rPr>
                <w:b/>
              </w:rPr>
              <w:t>Múzejná činnosť</w:t>
            </w:r>
          </w:p>
        </w:tc>
        <w:tc>
          <w:tcPr>
            <w:tcW w:w="2314" w:type="dxa"/>
            <w:gridSpan w:val="2"/>
          </w:tcPr>
          <w:p w:rsidR="00FF5868" w:rsidRPr="004E71D5" w:rsidRDefault="00FF5868" w:rsidP="0016092C">
            <w:pPr>
              <w:spacing w:line="360" w:lineRule="auto"/>
              <w:jc w:val="both"/>
              <w:rPr>
                <w:b/>
              </w:rPr>
            </w:pPr>
            <w:r w:rsidRPr="004E71D5">
              <w:rPr>
                <w:b/>
              </w:rPr>
              <w:t>Knižničná činnosť</w:t>
            </w:r>
          </w:p>
        </w:tc>
        <w:tc>
          <w:tcPr>
            <w:tcW w:w="2315" w:type="dxa"/>
            <w:gridSpan w:val="2"/>
          </w:tcPr>
          <w:p w:rsidR="00FF5868" w:rsidRPr="004E71D5" w:rsidRDefault="00FF5868" w:rsidP="0016092C">
            <w:pPr>
              <w:spacing w:line="360" w:lineRule="auto"/>
              <w:jc w:val="both"/>
              <w:rPr>
                <w:b/>
              </w:rPr>
            </w:pPr>
            <w:r w:rsidRPr="004E71D5">
              <w:rPr>
                <w:b/>
                <w:bCs/>
              </w:rPr>
              <w:t>Turisticko-informačné služby</w:t>
            </w:r>
          </w:p>
        </w:tc>
        <w:tc>
          <w:tcPr>
            <w:tcW w:w="2315" w:type="dxa"/>
            <w:gridSpan w:val="2"/>
          </w:tcPr>
          <w:p w:rsidR="00FF5868" w:rsidRPr="004E71D5" w:rsidRDefault="00FF5868" w:rsidP="0016092C">
            <w:pPr>
              <w:spacing w:line="360" w:lineRule="auto"/>
              <w:jc w:val="both"/>
              <w:rPr>
                <w:b/>
              </w:rPr>
            </w:pPr>
            <w:r w:rsidRPr="004E71D5">
              <w:rPr>
                <w:b/>
                <w:iCs/>
              </w:rPr>
              <w:t>Hospodársko-správna činnosť</w:t>
            </w:r>
          </w:p>
        </w:tc>
      </w:tr>
      <w:tr w:rsidR="00FF5868" w:rsidRPr="004E71D5" w:rsidTr="0016092C">
        <w:tc>
          <w:tcPr>
            <w:tcW w:w="1151" w:type="dxa"/>
          </w:tcPr>
          <w:p w:rsidR="00FF5868" w:rsidRPr="004E71D5" w:rsidRDefault="00FF5868" w:rsidP="0016092C">
            <w:pPr>
              <w:spacing w:line="360" w:lineRule="auto"/>
              <w:jc w:val="both"/>
            </w:pPr>
            <w:r w:rsidRPr="004E71D5">
              <w:t>Počet úväzkov</w:t>
            </w:r>
          </w:p>
        </w:tc>
        <w:tc>
          <w:tcPr>
            <w:tcW w:w="1163" w:type="dxa"/>
          </w:tcPr>
          <w:p w:rsidR="00FF5868" w:rsidRPr="004E71D5" w:rsidRDefault="00FF5868" w:rsidP="0016092C">
            <w:pPr>
              <w:spacing w:line="360" w:lineRule="auto"/>
              <w:jc w:val="both"/>
            </w:pPr>
            <w:r w:rsidRPr="004E71D5">
              <w:t>Počet fyzických osôb</w:t>
            </w:r>
          </w:p>
        </w:tc>
        <w:tc>
          <w:tcPr>
            <w:tcW w:w="1151" w:type="dxa"/>
          </w:tcPr>
          <w:p w:rsidR="00FF5868" w:rsidRPr="004E71D5" w:rsidRDefault="00FF5868" w:rsidP="0016092C">
            <w:pPr>
              <w:spacing w:line="360" w:lineRule="auto"/>
              <w:jc w:val="both"/>
            </w:pPr>
            <w:r w:rsidRPr="004E71D5">
              <w:t>Počet úväzkov</w:t>
            </w:r>
          </w:p>
        </w:tc>
        <w:tc>
          <w:tcPr>
            <w:tcW w:w="1163" w:type="dxa"/>
          </w:tcPr>
          <w:p w:rsidR="00FF5868" w:rsidRPr="004E71D5" w:rsidRDefault="00FF5868" w:rsidP="0016092C">
            <w:pPr>
              <w:spacing w:line="360" w:lineRule="auto"/>
              <w:jc w:val="both"/>
            </w:pPr>
            <w:r w:rsidRPr="004E71D5">
              <w:t>Počet fyzických osôb</w:t>
            </w:r>
          </w:p>
        </w:tc>
        <w:tc>
          <w:tcPr>
            <w:tcW w:w="1152" w:type="dxa"/>
          </w:tcPr>
          <w:p w:rsidR="00FF5868" w:rsidRPr="004E71D5" w:rsidRDefault="00FF5868" w:rsidP="0016092C">
            <w:pPr>
              <w:spacing w:line="360" w:lineRule="auto"/>
              <w:jc w:val="both"/>
            </w:pPr>
            <w:r w:rsidRPr="004E71D5">
              <w:t>Počet úväzkov</w:t>
            </w:r>
          </w:p>
        </w:tc>
        <w:tc>
          <w:tcPr>
            <w:tcW w:w="1163" w:type="dxa"/>
          </w:tcPr>
          <w:p w:rsidR="00FF5868" w:rsidRPr="004E71D5" w:rsidRDefault="00FF5868" w:rsidP="0016092C">
            <w:pPr>
              <w:spacing w:line="360" w:lineRule="auto"/>
              <w:jc w:val="both"/>
            </w:pPr>
            <w:r w:rsidRPr="004E71D5">
              <w:t>Počet fyzických osôb</w:t>
            </w:r>
          </w:p>
        </w:tc>
        <w:tc>
          <w:tcPr>
            <w:tcW w:w="1152" w:type="dxa"/>
          </w:tcPr>
          <w:p w:rsidR="00FF5868" w:rsidRPr="004E71D5" w:rsidRDefault="00FF5868" w:rsidP="0016092C">
            <w:pPr>
              <w:spacing w:line="360" w:lineRule="auto"/>
              <w:jc w:val="both"/>
            </w:pPr>
            <w:r w:rsidRPr="004E71D5">
              <w:t>Počet úväzkov</w:t>
            </w:r>
          </w:p>
        </w:tc>
        <w:tc>
          <w:tcPr>
            <w:tcW w:w="1163" w:type="dxa"/>
          </w:tcPr>
          <w:p w:rsidR="00FF5868" w:rsidRPr="004E71D5" w:rsidRDefault="00FF5868" w:rsidP="0016092C">
            <w:pPr>
              <w:spacing w:line="360" w:lineRule="auto"/>
              <w:jc w:val="both"/>
            </w:pPr>
            <w:r w:rsidRPr="004E71D5">
              <w:t>Počet fyzických osôb</w:t>
            </w:r>
          </w:p>
        </w:tc>
      </w:tr>
      <w:tr w:rsidR="00FF5868" w:rsidRPr="004E71D5" w:rsidTr="0016092C">
        <w:tc>
          <w:tcPr>
            <w:tcW w:w="1151" w:type="dxa"/>
          </w:tcPr>
          <w:p w:rsidR="00FF5868" w:rsidRPr="004E71D5" w:rsidRDefault="00FF5868" w:rsidP="0016092C">
            <w:pPr>
              <w:spacing w:line="360" w:lineRule="auto"/>
              <w:jc w:val="both"/>
            </w:pPr>
            <w:r w:rsidRPr="004E71D5">
              <w:t>5</w:t>
            </w:r>
          </w:p>
        </w:tc>
        <w:tc>
          <w:tcPr>
            <w:tcW w:w="1163" w:type="dxa"/>
          </w:tcPr>
          <w:p w:rsidR="00FF5868" w:rsidRPr="004E71D5" w:rsidRDefault="00FF5868" w:rsidP="0016092C">
            <w:pPr>
              <w:spacing w:line="360" w:lineRule="auto"/>
              <w:jc w:val="both"/>
            </w:pPr>
            <w:r w:rsidRPr="004E71D5">
              <w:t>6*</w:t>
            </w:r>
          </w:p>
        </w:tc>
        <w:tc>
          <w:tcPr>
            <w:tcW w:w="1151" w:type="dxa"/>
          </w:tcPr>
          <w:p w:rsidR="00FF5868" w:rsidRPr="004E71D5" w:rsidRDefault="00FF5868" w:rsidP="0016092C">
            <w:pPr>
              <w:spacing w:line="360" w:lineRule="auto"/>
              <w:jc w:val="both"/>
            </w:pPr>
            <w:r w:rsidRPr="004E71D5">
              <w:t>2</w:t>
            </w:r>
          </w:p>
        </w:tc>
        <w:tc>
          <w:tcPr>
            <w:tcW w:w="1163" w:type="dxa"/>
          </w:tcPr>
          <w:p w:rsidR="00FF5868" w:rsidRPr="004E71D5" w:rsidRDefault="00FF5868" w:rsidP="0016092C">
            <w:pPr>
              <w:spacing w:line="360" w:lineRule="auto"/>
              <w:jc w:val="both"/>
            </w:pPr>
            <w:r w:rsidRPr="004E71D5">
              <w:t>2</w:t>
            </w:r>
          </w:p>
        </w:tc>
        <w:tc>
          <w:tcPr>
            <w:tcW w:w="1152" w:type="dxa"/>
          </w:tcPr>
          <w:p w:rsidR="00FF5868" w:rsidRPr="004E71D5" w:rsidRDefault="00FF5868" w:rsidP="0016092C">
            <w:pPr>
              <w:spacing w:line="360" w:lineRule="auto"/>
              <w:jc w:val="both"/>
            </w:pPr>
            <w:r w:rsidRPr="004E71D5">
              <w:t>1</w:t>
            </w:r>
          </w:p>
        </w:tc>
        <w:tc>
          <w:tcPr>
            <w:tcW w:w="1163" w:type="dxa"/>
          </w:tcPr>
          <w:p w:rsidR="00FF5868" w:rsidRPr="004E71D5" w:rsidRDefault="00FF5868" w:rsidP="0016092C">
            <w:pPr>
              <w:spacing w:line="360" w:lineRule="auto"/>
              <w:jc w:val="both"/>
            </w:pPr>
            <w:r w:rsidRPr="004E71D5">
              <w:t>2*</w:t>
            </w:r>
          </w:p>
        </w:tc>
        <w:tc>
          <w:tcPr>
            <w:tcW w:w="1152" w:type="dxa"/>
          </w:tcPr>
          <w:p w:rsidR="00FF5868" w:rsidRPr="004E71D5" w:rsidRDefault="00FF5868" w:rsidP="0016092C">
            <w:pPr>
              <w:spacing w:line="360" w:lineRule="auto"/>
              <w:jc w:val="both"/>
            </w:pPr>
            <w:r w:rsidRPr="004E71D5">
              <w:t>2</w:t>
            </w:r>
          </w:p>
        </w:tc>
        <w:tc>
          <w:tcPr>
            <w:tcW w:w="1163" w:type="dxa"/>
          </w:tcPr>
          <w:p w:rsidR="00FF5868" w:rsidRPr="004E71D5" w:rsidRDefault="00FF5868" w:rsidP="0016092C">
            <w:pPr>
              <w:spacing w:line="360" w:lineRule="auto"/>
              <w:jc w:val="both"/>
            </w:pPr>
            <w:r w:rsidRPr="004E71D5">
              <w:t>2</w:t>
            </w:r>
          </w:p>
        </w:tc>
      </w:tr>
    </w:tbl>
    <w:p w:rsidR="00FF5868" w:rsidRPr="004E71D5" w:rsidRDefault="00FF5868" w:rsidP="00FF5868">
      <w:pPr>
        <w:spacing w:line="360" w:lineRule="auto"/>
        <w:jc w:val="both"/>
        <w:rPr>
          <w:sz w:val="20"/>
          <w:szCs w:val="20"/>
        </w:rPr>
      </w:pPr>
      <w:r w:rsidRPr="004E71D5">
        <w:rPr>
          <w:sz w:val="20"/>
          <w:szCs w:val="20"/>
        </w:rPr>
        <w:t>*  Archeologička pracovala na pol úväzku ako odborný zamestnanec múzea a na pol úväzku ako referentka cestovného ruchu NTIC. Lektorka na hrade pracovala sezonálne na polovičný úväzok.</w:t>
      </w:r>
    </w:p>
    <w:p w:rsidR="00FF5868" w:rsidRPr="004E71D5" w:rsidRDefault="00FF5868" w:rsidP="00FF5868">
      <w:pPr>
        <w:spacing w:line="360" w:lineRule="auto"/>
        <w:ind w:firstLine="708"/>
        <w:jc w:val="both"/>
      </w:pPr>
    </w:p>
    <w:p w:rsidR="00FF5868" w:rsidRPr="004E71D5" w:rsidRDefault="00FF5868" w:rsidP="00FF5868">
      <w:pPr>
        <w:spacing w:line="360" w:lineRule="auto"/>
        <w:ind w:firstLine="708"/>
        <w:jc w:val="both"/>
      </w:pPr>
      <w:r w:rsidRPr="004E71D5">
        <w:t xml:space="preserve">Kurátormi zbierok boli v r. 2014: riaditeľ, archeologička a mimo turistickej sezóny aj lektorka z hradu. Jeden z kmeňových sprievodcov HMF na hrade bol zamestnávaný stále sezónne len počas trvania hlavnej turistickej sezóny na 0,5 úväzku. Takéto hromadné kumulovanie odborných a obslužných funkcií neprispieva kvalite vykonávania zverených úloh, ale za daných podmienok fungovania je jedinou možnou alternatívou. Nerovnomerné rozvrhnutie pracovného času väčšiny pracovníkov kvôli víkendovým službám na hrade znemožňuje konanie spoločných pracovných porád. Komunikáciu medzi oddeleniami sťažuje aj fakt, že kancelárie sú v troch objektoch vzdialených od seba </w:t>
      </w:r>
      <w:smartTag w:uri="urn:schemas-microsoft-com:office:smarttags" w:element="metricconverter">
        <w:smartTagPr>
          <w:attr w:name="ProductID" w:val="200 metrov"/>
        </w:smartTagPr>
        <w:r w:rsidRPr="004E71D5">
          <w:t>200 metrov</w:t>
        </w:r>
      </w:smartTag>
      <w:r w:rsidRPr="004E71D5">
        <w:t xml:space="preserve">. </w:t>
      </w:r>
      <w:r w:rsidRPr="004E71D5">
        <w:rPr>
          <w:color w:val="000000"/>
        </w:rPr>
        <w:t xml:space="preserve">Personálne nedostatky pretrvávajú hlavne na oddelení knižničnej činnosti a turisticko-informačných služieb. Úradné hodiny vie HMF na daných oddeleniach pokryť v prípade uplatňovania </w:t>
      </w:r>
      <w:r w:rsidRPr="004E71D5">
        <w:rPr>
          <w:color w:val="000000"/>
        </w:rPr>
        <w:lastRenderedPageBreak/>
        <w:t xml:space="preserve">dovoleniek iba zastupovaním z jedného oddelenia na druhé – kvôli odlišnosti vykonávaných prác však takáto prax nie je vyhovujúca. </w:t>
      </w:r>
    </w:p>
    <w:p w:rsidR="00FF5868" w:rsidRPr="004E71D5" w:rsidRDefault="00FF5868" w:rsidP="00FF5868">
      <w:pPr>
        <w:spacing w:line="360" w:lineRule="auto"/>
        <w:ind w:firstLine="708"/>
        <w:jc w:val="both"/>
      </w:pPr>
      <w:r w:rsidRPr="004E71D5">
        <w:t>Cez Úrad práce, sociálnych vecí a rodiny v Lučenci zabezpeč</w:t>
      </w:r>
      <w:r w:rsidR="0016092C" w:rsidRPr="004E71D5">
        <w:t>ovalo HMF absolventskú prax dvom</w:t>
      </w:r>
      <w:r w:rsidRPr="004E71D5">
        <w:t xml:space="preserve"> absolventom v Mestskej knižnici a na Fiľakovsk</w:t>
      </w:r>
      <w:r w:rsidR="0016092C" w:rsidRPr="004E71D5">
        <w:t>om hrade (v termíne január – jún 2014</w:t>
      </w:r>
      <w:r w:rsidRPr="004E71D5">
        <w:t>)</w:t>
      </w:r>
      <w:r w:rsidR="0016092C" w:rsidRPr="004E71D5">
        <w:t xml:space="preserve"> a trom absolventom v Mestskej knižnici (v termíne november – december 2014)</w:t>
      </w:r>
      <w:r w:rsidRPr="004E71D5">
        <w:t xml:space="preserve">. </w:t>
      </w:r>
      <w:r w:rsidR="0016092C" w:rsidRPr="004E71D5">
        <w:t xml:space="preserve">V knižnici bola zamestnaná aj pomocná administratívna pracovníčka s vysokoškolským vzdelaním v rámci projektu ÚPSVaR „Podpora zamestnávania nezamestnaných v samospráve“ (august 2013 – júl 2014). </w:t>
      </w:r>
      <w:r w:rsidRPr="004E71D5">
        <w:t xml:space="preserve">Pomocou národného projektu úradu práce „Podpora zamestnanosti uchádzačov o zamestnanie – príspevok na podporu udržania zamestnancov s nízkymi platmi“ bola </w:t>
      </w:r>
      <w:r w:rsidR="0016092C" w:rsidRPr="004E71D5">
        <w:t xml:space="preserve">v HMF </w:t>
      </w:r>
      <w:r w:rsidRPr="004E71D5">
        <w:t xml:space="preserve">zamestnávaná </w:t>
      </w:r>
      <w:r w:rsidR="0016092C" w:rsidRPr="004E71D5">
        <w:t xml:space="preserve">aj </w:t>
      </w:r>
      <w:r w:rsidRPr="004E71D5">
        <w:t>jedna upratovačka</w:t>
      </w:r>
      <w:r w:rsidR="0016092C" w:rsidRPr="004E71D5">
        <w:t xml:space="preserve"> </w:t>
      </w:r>
      <w:r w:rsidR="00203BB7" w:rsidRPr="004E71D5">
        <w:t>do konca mesiaca január</w:t>
      </w:r>
      <w:r w:rsidR="0016092C" w:rsidRPr="004E71D5">
        <w:t xml:space="preserve"> 2014</w:t>
      </w:r>
      <w:r w:rsidR="00203BB7" w:rsidRPr="004E71D5">
        <w:t xml:space="preserve"> (obdobie trvania projektu február 2012 – január 2014)</w:t>
      </w:r>
      <w:r w:rsidRPr="004E71D5">
        <w:t>.</w:t>
      </w:r>
      <w:r w:rsidR="0016092C" w:rsidRPr="004E71D5">
        <w:t xml:space="preserve"> </w:t>
      </w:r>
    </w:p>
    <w:p w:rsidR="00FF5868" w:rsidRPr="004E71D5" w:rsidRDefault="00FF5868" w:rsidP="00FF5868">
      <w:pPr>
        <w:spacing w:line="360" w:lineRule="auto"/>
        <w:jc w:val="both"/>
      </w:pPr>
    </w:p>
    <w:p w:rsidR="00FF5868" w:rsidRPr="004E71D5" w:rsidRDefault="00FF5868" w:rsidP="00FF5868">
      <w:pPr>
        <w:spacing w:line="360" w:lineRule="auto"/>
        <w:jc w:val="both"/>
      </w:pPr>
    </w:p>
    <w:p w:rsidR="00FF5868" w:rsidRPr="004E71D5" w:rsidRDefault="00FF5868" w:rsidP="00FF5868">
      <w:pPr>
        <w:spacing w:line="360" w:lineRule="auto"/>
        <w:jc w:val="both"/>
        <w:rPr>
          <w:b/>
          <w:bCs/>
        </w:rPr>
      </w:pPr>
      <w:r w:rsidRPr="004E71D5">
        <w:rPr>
          <w:b/>
          <w:bCs/>
        </w:rPr>
        <w:t>B, Múzejná činnosť a ochrana kultúrneho dedičstva – Hradné múzeum a Mestské vlastivedné múzeum</w:t>
      </w:r>
    </w:p>
    <w:p w:rsidR="00FF5868" w:rsidRPr="004E71D5" w:rsidRDefault="00FF5868" w:rsidP="00FF5868">
      <w:pPr>
        <w:spacing w:line="360" w:lineRule="auto"/>
        <w:jc w:val="both"/>
        <w:rPr>
          <w:iCs/>
        </w:rPr>
      </w:pPr>
    </w:p>
    <w:p w:rsidR="00FF5868" w:rsidRPr="004E71D5" w:rsidRDefault="00FF5868" w:rsidP="00FF5868">
      <w:pPr>
        <w:spacing w:line="360" w:lineRule="auto"/>
        <w:jc w:val="both"/>
        <w:rPr>
          <w:b/>
          <w:bCs/>
          <w:iCs/>
        </w:rPr>
      </w:pPr>
      <w:r w:rsidRPr="004E71D5">
        <w:rPr>
          <w:b/>
          <w:bCs/>
          <w:iCs/>
        </w:rPr>
        <w:t>I. Ochrana zbierkového fondu a zverených budov</w:t>
      </w:r>
    </w:p>
    <w:p w:rsidR="00312C11" w:rsidRPr="004E71D5" w:rsidRDefault="00312C11" w:rsidP="00FF5868">
      <w:pPr>
        <w:spacing w:line="360" w:lineRule="auto"/>
        <w:jc w:val="both"/>
        <w:rPr>
          <w:rFonts w:eastAsiaTheme="minorHAnsi"/>
          <w:lang w:eastAsia="en-US"/>
        </w:rPr>
      </w:pPr>
      <w:r w:rsidRPr="004E71D5">
        <w:rPr>
          <w:b/>
          <w:bCs/>
          <w:iCs/>
        </w:rPr>
        <w:tab/>
      </w:r>
      <w:r w:rsidRPr="004E71D5">
        <w:rPr>
          <w:bCs/>
          <w:iCs/>
        </w:rPr>
        <w:t>V roku 2014 z vlastných zdrojov zabezpečilo HMF</w:t>
      </w:r>
      <w:r w:rsidRPr="004E71D5">
        <w:rPr>
          <w:b/>
          <w:bCs/>
          <w:iCs/>
        </w:rPr>
        <w:t xml:space="preserve"> </w:t>
      </w:r>
      <w:r w:rsidRPr="004E71D5">
        <w:t xml:space="preserve">obnovu troch existujúcich terénnych schodísk v areáli Fiľakovského hradu, </w:t>
      </w:r>
      <w:r w:rsidRPr="004E71D5">
        <w:rPr>
          <w:rFonts w:eastAsiaTheme="minorHAnsi"/>
          <w:lang w:eastAsia="en-US"/>
        </w:rPr>
        <w:t>ktoré boli za hranicou životnosti.</w:t>
      </w:r>
      <w:r w:rsidRPr="004E71D5">
        <w:t xml:space="preserve"> Konkrétne sa jedná o schodisko na Dolnom hrade vedúce ku vstupu do Bebekovej bašty, schodisko na Strednom hrade vedúce do Horného hradu a schodisko na Hornom hrade vedúce do najvyššieho nádvoria. </w:t>
      </w:r>
      <w:r w:rsidRPr="004E71D5">
        <w:rPr>
          <w:rFonts w:eastAsiaTheme="minorHAnsi"/>
          <w:lang w:eastAsia="en-US"/>
        </w:rPr>
        <w:t>Stabilitu schodísk na sypkom podklade zabezpečil pevný panel schodiskového ramena, kotvený cez pásoviny do betónových pätiek, vytvorených v sťažených podmienkach hradnej zrúcaniny.</w:t>
      </w:r>
    </w:p>
    <w:p w:rsidR="00312C11" w:rsidRPr="004E71D5" w:rsidRDefault="00312C11" w:rsidP="00312C11">
      <w:pPr>
        <w:pStyle w:val="Nadpis2"/>
        <w:spacing w:before="0" w:after="0" w:line="360" w:lineRule="auto"/>
        <w:ind w:firstLine="708"/>
        <w:jc w:val="both"/>
        <w:rPr>
          <w:rFonts w:ascii="Times New Roman" w:hAnsi="Times New Roman"/>
          <w:sz w:val="24"/>
          <w:szCs w:val="24"/>
        </w:rPr>
      </w:pPr>
      <w:r w:rsidRPr="004E71D5">
        <w:rPr>
          <w:rFonts w:ascii="Times New Roman" w:hAnsi="Times New Roman"/>
          <w:noProof/>
          <w:sz w:val="24"/>
          <w:szCs w:val="24"/>
        </w:rPr>
        <w:t>Z vlastných prostriedkov zabezpečilo HMF aj opravu fasády</w:t>
      </w:r>
      <w:r w:rsidR="008B77FF" w:rsidRPr="004E71D5">
        <w:rPr>
          <w:rFonts w:ascii="Times New Roman" w:hAnsi="Times New Roman"/>
          <w:noProof/>
          <w:sz w:val="24"/>
          <w:szCs w:val="24"/>
        </w:rPr>
        <w:t xml:space="preserve"> Mestského vlastivedného múzea. Išlo o obnovu </w:t>
      </w:r>
      <w:r w:rsidR="008B77FF" w:rsidRPr="004E71D5">
        <w:rPr>
          <w:rFonts w:ascii="Times New Roman" w:hAnsi="Times New Roman"/>
          <w:sz w:val="24"/>
          <w:szCs w:val="24"/>
        </w:rPr>
        <w:t>fasády budovy, ktorá zahŕňala opravu poškodených častí  a povrchovú úpravu celej fasády budovy novým náterom.</w:t>
      </w:r>
    </w:p>
    <w:p w:rsidR="008B77FF" w:rsidRPr="004E71D5" w:rsidRDefault="008B77FF" w:rsidP="00312C11">
      <w:pPr>
        <w:pStyle w:val="Nadpis2"/>
        <w:spacing w:before="0" w:after="0" w:line="360" w:lineRule="auto"/>
        <w:ind w:firstLine="708"/>
        <w:jc w:val="both"/>
        <w:rPr>
          <w:rFonts w:ascii="Times New Roman" w:hAnsi="Times New Roman"/>
          <w:noProof/>
          <w:sz w:val="24"/>
          <w:szCs w:val="24"/>
        </w:rPr>
      </w:pPr>
      <w:r w:rsidRPr="004E71D5">
        <w:rPr>
          <w:rFonts w:ascii="Times New Roman" w:hAnsi="Times New Roman"/>
          <w:noProof/>
          <w:sz w:val="24"/>
          <w:szCs w:val="24"/>
        </w:rPr>
        <w:t>Hradné múzeum vo Fiľakove naďalej nemá vlastnú konzervátorskú resp. reštaurátorskú dielňu a inštitúcia nemá ani možnosť zamestnávať odborníka s patričným vzdelaním. Tieto úlohy zabezpečuje HMF dodávateľsky. Z vlastných zdrojov inštitúcie sa podarilo zreštauroval vyrezávaný sekretár s poľovníckym motívom a dva svadobné hrnce, ktoré sa stali súčasťou stálej expozície Mestského vlastivedného múzea.</w:t>
      </w:r>
    </w:p>
    <w:p w:rsidR="00FF5868" w:rsidRPr="004E71D5" w:rsidRDefault="00FF5868" w:rsidP="00FF5868">
      <w:pPr>
        <w:spacing w:line="360" w:lineRule="auto"/>
        <w:jc w:val="both"/>
      </w:pPr>
      <w:r w:rsidRPr="004E71D5">
        <w:tab/>
      </w:r>
      <w:r w:rsidR="00312C11" w:rsidRPr="004E71D5">
        <w:t>Na</w:t>
      </w:r>
      <w:r w:rsidR="00502EA7" w:rsidRPr="004E71D5">
        <w:t xml:space="preserve"> zabezpečenie vhodných klimatických podmienok vo výstavných priestoroch Mestského vlastivedného múzea prebiehla úspešná implementácia projektu zo získanej </w:t>
      </w:r>
      <w:r w:rsidR="00502EA7" w:rsidRPr="004E71D5">
        <w:lastRenderedPageBreak/>
        <w:t>dotácie z Ministerstva kultúry SR</w:t>
      </w:r>
      <w:r w:rsidR="00A7234E" w:rsidRPr="004E71D5">
        <w:t>.</w:t>
      </w:r>
      <w:r w:rsidR="00502EA7" w:rsidRPr="004E71D5">
        <w:t xml:space="preserve"> Osadením lokálnych klimatizačných jednotiek v uvedených výstavných priestoroch sa dosiahla prijateľná vnútorná klíma vhodná tak pre trvalé umiestnenie exponátov dlhoplánovanej stálej expozície, ako aj z hľadiska návštevníkov múzea. Chladenie vzduchu vybraných miestností bolo riešené pomocou kompaktných stropných kazetových jednotiek, ktorých požadovaný chladiaci výkon je zabezpečený pomocou centrálnej vonkajšej chladiacej jednotky umiestnenej vo dvorovej časti pred severnou fasádou budovy.</w:t>
      </w:r>
    </w:p>
    <w:p w:rsidR="00FF5868" w:rsidRPr="004E71D5" w:rsidRDefault="00FF5868" w:rsidP="00FF5868">
      <w:pPr>
        <w:spacing w:line="360" w:lineRule="auto"/>
        <w:ind w:firstLine="708"/>
        <w:jc w:val="both"/>
        <w:rPr>
          <w:bCs/>
          <w:iCs/>
        </w:rPr>
      </w:pPr>
      <w:r w:rsidRPr="004E71D5">
        <w:rPr>
          <w:bCs/>
          <w:iCs/>
        </w:rPr>
        <w:t>Vybavenosť priestorov HMF elektronickým protipožiarnym systémom (EPS) a elektronickým zabezpe</w:t>
      </w:r>
      <w:r w:rsidR="008B77FF" w:rsidRPr="004E71D5">
        <w:rPr>
          <w:bCs/>
          <w:iCs/>
        </w:rPr>
        <w:t>čovacím systémom (EZS) v r. 2014</w:t>
      </w:r>
      <w:r w:rsidRPr="004E71D5">
        <w:rPr>
          <w:bCs/>
          <w:iCs/>
        </w:rPr>
        <w:t>:</w:t>
      </w:r>
      <w:r w:rsidRPr="004E71D5">
        <w:rPr>
          <w:bCs/>
          <w:iCs/>
        </w:rPr>
        <w:tab/>
      </w:r>
    </w:p>
    <w:tbl>
      <w:tblPr>
        <w:tblW w:w="7445" w:type="dxa"/>
        <w:tblInd w:w="61" w:type="dxa"/>
        <w:tblCellMar>
          <w:left w:w="70" w:type="dxa"/>
          <w:right w:w="70" w:type="dxa"/>
        </w:tblCellMar>
        <w:tblLook w:val="04A0" w:firstRow="1" w:lastRow="0" w:firstColumn="1" w:lastColumn="0" w:noHBand="0" w:noVBand="1"/>
      </w:tblPr>
      <w:tblGrid>
        <w:gridCol w:w="3840"/>
        <w:gridCol w:w="1539"/>
        <w:gridCol w:w="1033"/>
        <w:gridCol w:w="1033"/>
      </w:tblGrid>
      <w:tr w:rsidR="00FF5868" w:rsidRPr="004E71D5" w:rsidTr="0016092C">
        <w:trPr>
          <w:trHeight w:val="300"/>
        </w:trPr>
        <w:tc>
          <w:tcPr>
            <w:tcW w:w="3840" w:type="dxa"/>
            <w:tcBorders>
              <w:top w:val="single" w:sz="4" w:space="0" w:color="000000"/>
              <w:left w:val="single" w:sz="4" w:space="0" w:color="000000"/>
              <w:bottom w:val="single" w:sz="4" w:space="0" w:color="000000"/>
              <w:right w:val="single" w:sz="4" w:space="0" w:color="000000"/>
            </w:tcBorders>
            <w:shd w:val="clear" w:color="000000" w:fill="969696"/>
            <w:noWrap/>
            <w:hideMark/>
          </w:tcPr>
          <w:p w:rsidR="00FF5868" w:rsidRPr="004E71D5" w:rsidRDefault="00FF5868" w:rsidP="0016092C">
            <w:pPr>
              <w:spacing w:line="360" w:lineRule="auto"/>
              <w:jc w:val="both"/>
              <w:rPr>
                <w:b/>
                <w:bCs/>
                <w:color w:val="000000"/>
              </w:rPr>
            </w:pPr>
            <w:r w:rsidRPr="004E71D5">
              <w:rPr>
                <w:b/>
                <w:bCs/>
                <w:color w:val="000000"/>
              </w:rPr>
              <w:t> </w:t>
            </w:r>
          </w:p>
        </w:tc>
        <w:tc>
          <w:tcPr>
            <w:tcW w:w="1539" w:type="dxa"/>
            <w:tcBorders>
              <w:top w:val="single" w:sz="4" w:space="0" w:color="000000"/>
              <w:left w:val="nil"/>
              <w:bottom w:val="single" w:sz="4" w:space="0" w:color="000000"/>
              <w:right w:val="nil"/>
            </w:tcBorders>
            <w:shd w:val="clear" w:color="000000" w:fill="969696"/>
          </w:tcPr>
          <w:p w:rsidR="00FF5868" w:rsidRPr="004E71D5" w:rsidRDefault="00FF5868" w:rsidP="0016092C">
            <w:pPr>
              <w:spacing w:line="360" w:lineRule="auto"/>
              <w:jc w:val="both"/>
            </w:pPr>
            <w:r w:rsidRPr="004E71D5">
              <w:rPr>
                <w:b/>
                <w:bCs/>
              </w:rPr>
              <w:t>Plocha [m</w:t>
            </w:r>
            <w:r w:rsidRPr="004E71D5">
              <w:rPr>
                <w:b/>
                <w:bCs/>
                <w:vertAlign w:val="superscript"/>
              </w:rPr>
              <w:t>2</w:t>
            </w:r>
            <w:r w:rsidRPr="004E71D5">
              <w:rPr>
                <w:b/>
                <w:bCs/>
              </w:rPr>
              <w:t>]</w:t>
            </w:r>
            <w:r w:rsidRPr="004E71D5">
              <w:t>:</w:t>
            </w:r>
          </w:p>
          <w:p w:rsidR="00FF5868" w:rsidRPr="004E71D5" w:rsidRDefault="00FF5868" w:rsidP="0016092C">
            <w:pPr>
              <w:spacing w:line="360" w:lineRule="auto"/>
              <w:jc w:val="both"/>
              <w:rPr>
                <w:b/>
                <w:bCs/>
                <w:color w:val="000000"/>
              </w:rPr>
            </w:pPr>
            <w:r w:rsidRPr="004E71D5">
              <w:t>Stav 2013</w:t>
            </w:r>
          </w:p>
        </w:tc>
        <w:tc>
          <w:tcPr>
            <w:tcW w:w="1033" w:type="dxa"/>
            <w:tcBorders>
              <w:top w:val="single" w:sz="4" w:space="0" w:color="000000"/>
              <w:left w:val="nil"/>
              <w:bottom w:val="single" w:sz="4" w:space="0" w:color="000000"/>
              <w:right w:val="single" w:sz="4" w:space="0" w:color="000000"/>
            </w:tcBorders>
            <w:shd w:val="clear" w:color="000000" w:fill="969696"/>
            <w:noWrap/>
            <w:hideMark/>
          </w:tcPr>
          <w:p w:rsidR="00FF5868" w:rsidRPr="004E71D5" w:rsidRDefault="00FF5868" w:rsidP="0016092C">
            <w:pPr>
              <w:spacing w:line="360" w:lineRule="auto"/>
              <w:jc w:val="both"/>
              <w:rPr>
                <w:b/>
                <w:bCs/>
                <w:color w:val="000000"/>
              </w:rPr>
            </w:pPr>
            <w:r w:rsidRPr="004E71D5">
              <w:rPr>
                <w:b/>
                <w:bCs/>
                <w:color w:val="000000"/>
              </w:rPr>
              <w:t>EPS:</w:t>
            </w:r>
          </w:p>
        </w:tc>
        <w:tc>
          <w:tcPr>
            <w:tcW w:w="1033" w:type="dxa"/>
            <w:tcBorders>
              <w:top w:val="single" w:sz="4" w:space="0" w:color="000000"/>
              <w:left w:val="nil"/>
              <w:bottom w:val="single" w:sz="4" w:space="0" w:color="000000"/>
              <w:right w:val="single" w:sz="4" w:space="0" w:color="000000"/>
            </w:tcBorders>
            <w:shd w:val="clear" w:color="000000" w:fill="969696"/>
            <w:noWrap/>
            <w:hideMark/>
          </w:tcPr>
          <w:p w:rsidR="00FF5868" w:rsidRPr="004E71D5" w:rsidRDefault="00FF5868" w:rsidP="0016092C">
            <w:pPr>
              <w:spacing w:line="360" w:lineRule="auto"/>
              <w:jc w:val="both"/>
              <w:rPr>
                <w:b/>
                <w:bCs/>
                <w:color w:val="000000"/>
              </w:rPr>
            </w:pPr>
            <w:r w:rsidRPr="004E71D5">
              <w:rPr>
                <w:b/>
                <w:bCs/>
                <w:color w:val="000000"/>
              </w:rPr>
              <w:t>EZS:</w:t>
            </w:r>
          </w:p>
        </w:tc>
      </w:tr>
      <w:tr w:rsidR="00FF5868" w:rsidRPr="004E71D5" w:rsidTr="0016092C">
        <w:trPr>
          <w:trHeight w:val="300"/>
        </w:trPr>
        <w:tc>
          <w:tcPr>
            <w:tcW w:w="3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FF5868" w:rsidRPr="004E71D5" w:rsidRDefault="00FF5868" w:rsidP="0016092C">
            <w:pPr>
              <w:spacing w:line="360" w:lineRule="auto"/>
              <w:jc w:val="both"/>
              <w:rPr>
                <w:color w:val="000000"/>
              </w:rPr>
            </w:pPr>
            <w:r w:rsidRPr="004E71D5">
              <w:rPr>
                <w:color w:val="000000"/>
              </w:rPr>
              <w:t>Expozičné priestory:</w:t>
            </w:r>
          </w:p>
        </w:tc>
        <w:tc>
          <w:tcPr>
            <w:tcW w:w="1539" w:type="dxa"/>
            <w:tcBorders>
              <w:top w:val="nil"/>
              <w:left w:val="nil"/>
              <w:bottom w:val="single" w:sz="4" w:space="0" w:color="000000"/>
              <w:right w:val="nil"/>
            </w:tcBorders>
          </w:tcPr>
          <w:p w:rsidR="00FF5868" w:rsidRPr="004E71D5" w:rsidRDefault="008B77FF" w:rsidP="0016092C">
            <w:pPr>
              <w:spacing w:line="360" w:lineRule="auto"/>
              <w:jc w:val="both"/>
              <w:rPr>
                <w:color w:val="000000"/>
              </w:rPr>
            </w:pPr>
            <w:r w:rsidRPr="004E71D5">
              <w:rPr>
                <w:color w:val="000000"/>
              </w:rPr>
              <w:t>360,52</w:t>
            </w:r>
          </w:p>
        </w:tc>
        <w:tc>
          <w:tcPr>
            <w:tcW w:w="1033" w:type="dxa"/>
            <w:tcBorders>
              <w:top w:val="nil"/>
              <w:left w:val="nil"/>
              <w:bottom w:val="single" w:sz="4" w:space="0" w:color="000000"/>
              <w:right w:val="single" w:sz="4" w:space="0" w:color="000000"/>
            </w:tcBorders>
            <w:shd w:val="clear" w:color="auto" w:fill="auto"/>
            <w:noWrap/>
            <w:hideMark/>
          </w:tcPr>
          <w:p w:rsidR="00FF5868" w:rsidRPr="004E71D5" w:rsidRDefault="00FF5868" w:rsidP="0016092C">
            <w:pPr>
              <w:spacing w:line="360" w:lineRule="auto"/>
              <w:jc w:val="both"/>
              <w:rPr>
                <w:color w:val="000000"/>
              </w:rPr>
            </w:pPr>
            <w:r w:rsidRPr="004E71D5">
              <w:rPr>
                <w:color w:val="000000"/>
              </w:rPr>
              <w:t>áno</w:t>
            </w:r>
          </w:p>
        </w:tc>
        <w:tc>
          <w:tcPr>
            <w:tcW w:w="1033" w:type="dxa"/>
            <w:tcBorders>
              <w:top w:val="nil"/>
              <w:left w:val="nil"/>
              <w:bottom w:val="single" w:sz="4" w:space="0" w:color="000000"/>
              <w:right w:val="single" w:sz="4" w:space="0" w:color="000000"/>
            </w:tcBorders>
            <w:shd w:val="clear" w:color="auto" w:fill="auto"/>
            <w:noWrap/>
            <w:hideMark/>
          </w:tcPr>
          <w:p w:rsidR="00FF5868" w:rsidRPr="004E71D5" w:rsidRDefault="00FF5868" w:rsidP="0016092C">
            <w:pPr>
              <w:spacing w:line="360" w:lineRule="auto"/>
              <w:jc w:val="both"/>
              <w:rPr>
                <w:color w:val="000000"/>
              </w:rPr>
            </w:pPr>
            <w:r w:rsidRPr="004E71D5">
              <w:rPr>
                <w:color w:val="000000"/>
              </w:rPr>
              <w:t>áno</w:t>
            </w:r>
          </w:p>
        </w:tc>
      </w:tr>
      <w:tr w:rsidR="00FF5868" w:rsidRPr="004E71D5" w:rsidTr="0016092C">
        <w:trPr>
          <w:trHeight w:val="300"/>
        </w:trPr>
        <w:tc>
          <w:tcPr>
            <w:tcW w:w="3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FF5868" w:rsidRPr="004E71D5" w:rsidRDefault="00FF5868" w:rsidP="0016092C">
            <w:pPr>
              <w:spacing w:line="360" w:lineRule="auto"/>
              <w:jc w:val="both"/>
              <w:rPr>
                <w:color w:val="000000"/>
              </w:rPr>
            </w:pPr>
            <w:r w:rsidRPr="004E71D5">
              <w:rPr>
                <w:color w:val="000000"/>
              </w:rPr>
              <w:t>Výstavné priestory:</w:t>
            </w:r>
          </w:p>
        </w:tc>
        <w:tc>
          <w:tcPr>
            <w:tcW w:w="1539" w:type="dxa"/>
            <w:tcBorders>
              <w:top w:val="nil"/>
              <w:left w:val="nil"/>
              <w:bottom w:val="single" w:sz="4" w:space="0" w:color="000000"/>
              <w:right w:val="nil"/>
            </w:tcBorders>
          </w:tcPr>
          <w:p w:rsidR="00FF5868" w:rsidRPr="004E71D5" w:rsidRDefault="008B77FF" w:rsidP="0016092C">
            <w:pPr>
              <w:spacing w:line="360" w:lineRule="auto"/>
              <w:jc w:val="both"/>
              <w:rPr>
                <w:color w:val="000000"/>
              </w:rPr>
            </w:pPr>
            <w:r w:rsidRPr="004E71D5">
              <w:rPr>
                <w:color w:val="000000"/>
              </w:rPr>
              <w:t>312,69</w:t>
            </w:r>
          </w:p>
        </w:tc>
        <w:tc>
          <w:tcPr>
            <w:tcW w:w="1033" w:type="dxa"/>
            <w:tcBorders>
              <w:top w:val="nil"/>
              <w:left w:val="nil"/>
              <w:bottom w:val="single" w:sz="4" w:space="0" w:color="000000"/>
              <w:right w:val="single" w:sz="4" w:space="0" w:color="000000"/>
            </w:tcBorders>
            <w:shd w:val="clear" w:color="auto" w:fill="auto"/>
            <w:noWrap/>
            <w:hideMark/>
          </w:tcPr>
          <w:p w:rsidR="00FF5868" w:rsidRPr="004E71D5" w:rsidRDefault="00FF5868" w:rsidP="0016092C">
            <w:pPr>
              <w:spacing w:line="360" w:lineRule="auto"/>
              <w:jc w:val="both"/>
              <w:rPr>
                <w:color w:val="000000"/>
              </w:rPr>
            </w:pPr>
            <w:r w:rsidRPr="004E71D5">
              <w:rPr>
                <w:color w:val="000000"/>
              </w:rPr>
              <w:t>čiastočne</w:t>
            </w:r>
          </w:p>
        </w:tc>
        <w:tc>
          <w:tcPr>
            <w:tcW w:w="1033" w:type="dxa"/>
            <w:tcBorders>
              <w:top w:val="nil"/>
              <w:left w:val="nil"/>
              <w:bottom w:val="single" w:sz="4" w:space="0" w:color="000000"/>
              <w:right w:val="single" w:sz="4" w:space="0" w:color="000000"/>
            </w:tcBorders>
            <w:shd w:val="clear" w:color="auto" w:fill="auto"/>
            <w:noWrap/>
            <w:hideMark/>
          </w:tcPr>
          <w:p w:rsidR="00FF5868" w:rsidRPr="004E71D5" w:rsidRDefault="00FF5868" w:rsidP="0016092C">
            <w:pPr>
              <w:spacing w:line="360" w:lineRule="auto"/>
              <w:jc w:val="both"/>
              <w:rPr>
                <w:color w:val="000000"/>
              </w:rPr>
            </w:pPr>
            <w:r w:rsidRPr="004E71D5">
              <w:rPr>
                <w:color w:val="000000"/>
              </w:rPr>
              <w:t>áno</w:t>
            </w:r>
          </w:p>
        </w:tc>
      </w:tr>
      <w:tr w:rsidR="00FF5868" w:rsidRPr="004E71D5" w:rsidTr="0016092C">
        <w:trPr>
          <w:trHeight w:val="300"/>
        </w:trPr>
        <w:tc>
          <w:tcPr>
            <w:tcW w:w="3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FF5868" w:rsidRPr="004E71D5" w:rsidRDefault="00FF5868" w:rsidP="0016092C">
            <w:pPr>
              <w:spacing w:line="360" w:lineRule="auto"/>
              <w:jc w:val="both"/>
              <w:rPr>
                <w:color w:val="000000"/>
              </w:rPr>
            </w:pPr>
            <w:r w:rsidRPr="004E71D5">
              <w:rPr>
                <w:color w:val="000000"/>
              </w:rPr>
              <w:t>Depozitárne priestory:</w:t>
            </w:r>
          </w:p>
        </w:tc>
        <w:tc>
          <w:tcPr>
            <w:tcW w:w="1539" w:type="dxa"/>
            <w:tcBorders>
              <w:top w:val="nil"/>
              <w:left w:val="nil"/>
              <w:bottom w:val="single" w:sz="4" w:space="0" w:color="000000"/>
              <w:right w:val="nil"/>
            </w:tcBorders>
          </w:tcPr>
          <w:p w:rsidR="00FF5868" w:rsidRPr="004E71D5" w:rsidRDefault="00FF5868" w:rsidP="0016092C">
            <w:pPr>
              <w:spacing w:line="360" w:lineRule="auto"/>
              <w:jc w:val="both"/>
              <w:rPr>
                <w:color w:val="000000"/>
              </w:rPr>
            </w:pPr>
            <w:r w:rsidRPr="004E71D5">
              <w:rPr>
                <w:color w:val="000000"/>
              </w:rPr>
              <w:t>127,50</w:t>
            </w:r>
          </w:p>
        </w:tc>
        <w:tc>
          <w:tcPr>
            <w:tcW w:w="1033" w:type="dxa"/>
            <w:tcBorders>
              <w:top w:val="nil"/>
              <w:left w:val="nil"/>
              <w:bottom w:val="single" w:sz="4" w:space="0" w:color="000000"/>
              <w:right w:val="single" w:sz="4" w:space="0" w:color="000000"/>
            </w:tcBorders>
            <w:shd w:val="clear" w:color="auto" w:fill="auto"/>
            <w:noWrap/>
            <w:hideMark/>
          </w:tcPr>
          <w:p w:rsidR="00FF5868" w:rsidRPr="004E71D5" w:rsidRDefault="00FF5868" w:rsidP="0016092C">
            <w:pPr>
              <w:spacing w:line="360" w:lineRule="auto"/>
              <w:jc w:val="both"/>
              <w:rPr>
                <w:color w:val="000000"/>
              </w:rPr>
            </w:pPr>
            <w:r w:rsidRPr="004E71D5">
              <w:rPr>
                <w:color w:val="000000"/>
              </w:rPr>
              <w:t>nie</w:t>
            </w:r>
          </w:p>
        </w:tc>
        <w:tc>
          <w:tcPr>
            <w:tcW w:w="1033" w:type="dxa"/>
            <w:tcBorders>
              <w:top w:val="nil"/>
              <w:left w:val="nil"/>
              <w:bottom w:val="single" w:sz="4" w:space="0" w:color="000000"/>
              <w:right w:val="single" w:sz="4" w:space="0" w:color="000000"/>
            </w:tcBorders>
            <w:shd w:val="clear" w:color="auto" w:fill="auto"/>
            <w:noWrap/>
            <w:hideMark/>
          </w:tcPr>
          <w:p w:rsidR="00FF5868" w:rsidRPr="004E71D5" w:rsidRDefault="00FF5868" w:rsidP="0016092C">
            <w:pPr>
              <w:spacing w:line="360" w:lineRule="auto"/>
              <w:jc w:val="both"/>
              <w:rPr>
                <w:color w:val="000000"/>
              </w:rPr>
            </w:pPr>
            <w:r w:rsidRPr="004E71D5">
              <w:rPr>
                <w:color w:val="000000"/>
              </w:rPr>
              <w:t>áno</w:t>
            </w:r>
          </w:p>
        </w:tc>
      </w:tr>
      <w:tr w:rsidR="00FF5868" w:rsidRPr="004E71D5" w:rsidTr="0016092C">
        <w:trPr>
          <w:trHeight w:val="300"/>
        </w:trPr>
        <w:tc>
          <w:tcPr>
            <w:tcW w:w="3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FF5868" w:rsidRPr="004E71D5" w:rsidRDefault="00FF5868" w:rsidP="0016092C">
            <w:pPr>
              <w:spacing w:line="360" w:lineRule="auto"/>
              <w:jc w:val="both"/>
              <w:rPr>
                <w:color w:val="000000"/>
              </w:rPr>
            </w:pPr>
            <w:r w:rsidRPr="004E71D5">
              <w:rPr>
                <w:color w:val="000000"/>
              </w:rPr>
              <w:t>Pracovne:</w:t>
            </w:r>
          </w:p>
        </w:tc>
        <w:tc>
          <w:tcPr>
            <w:tcW w:w="1539" w:type="dxa"/>
            <w:tcBorders>
              <w:top w:val="nil"/>
              <w:left w:val="nil"/>
              <w:bottom w:val="single" w:sz="4" w:space="0" w:color="000000"/>
              <w:right w:val="nil"/>
            </w:tcBorders>
          </w:tcPr>
          <w:p w:rsidR="00FF5868" w:rsidRPr="004E71D5" w:rsidRDefault="00FF5868" w:rsidP="0016092C">
            <w:pPr>
              <w:spacing w:line="360" w:lineRule="auto"/>
              <w:jc w:val="both"/>
              <w:rPr>
                <w:color w:val="000000"/>
              </w:rPr>
            </w:pPr>
            <w:r w:rsidRPr="004E71D5">
              <w:rPr>
                <w:color w:val="000000"/>
              </w:rPr>
              <w:t>79,49</w:t>
            </w:r>
          </w:p>
        </w:tc>
        <w:tc>
          <w:tcPr>
            <w:tcW w:w="1033" w:type="dxa"/>
            <w:tcBorders>
              <w:top w:val="nil"/>
              <w:left w:val="nil"/>
              <w:bottom w:val="single" w:sz="4" w:space="0" w:color="000000"/>
              <w:right w:val="single" w:sz="4" w:space="0" w:color="000000"/>
            </w:tcBorders>
            <w:shd w:val="clear" w:color="auto" w:fill="auto"/>
            <w:noWrap/>
            <w:hideMark/>
          </w:tcPr>
          <w:p w:rsidR="00FF5868" w:rsidRPr="004E71D5" w:rsidRDefault="00FF5868" w:rsidP="0016092C">
            <w:pPr>
              <w:spacing w:line="360" w:lineRule="auto"/>
              <w:jc w:val="both"/>
              <w:rPr>
                <w:color w:val="000000"/>
              </w:rPr>
            </w:pPr>
            <w:r w:rsidRPr="004E71D5">
              <w:rPr>
                <w:color w:val="000000"/>
              </w:rPr>
              <w:t>nie</w:t>
            </w:r>
          </w:p>
        </w:tc>
        <w:tc>
          <w:tcPr>
            <w:tcW w:w="1033" w:type="dxa"/>
            <w:tcBorders>
              <w:top w:val="nil"/>
              <w:left w:val="nil"/>
              <w:bottom w:val="single" w:sz="4" w:space="0" w:color="000000"/>
              <w:right w:val="single" w:sz="4" w:space="0" w:color="000000"/>
            </w:tcBorders>
            <w:shd w:val="clear" w:color="auto" w:fill="auto"/>
            <w:noWrap/>
            <w:hideMark/>
          </w:tcPr>
          <w:p w:rsidR="00FF5868" w:rsidRPr="004E71D5" w:rsidRDefault="00FF5868" w:rsidP="0016092C">
            <w:pPr>
              <w:spacing w:line="360" w:lineRule="auto"/>
              <w:jc w:val="both"/>
              <w:rPr>
                <w:color w:val="000000"/>
              </w:rPr>
            </w:pPr>
            <w:r w:rsidRPr="004E71D5">
              <w:rPr>
                <w:color w:val="000000"/>
              </w:rPr>
              <w:t>áno</w:t>
            </w:r>
          </w:p>
        </w:tc>
      </w:tr>
      <w:tr w:rsidR="00FF5868" w:rsidRPr="004E71D5" w:rsidTr="0016092C">
        <w:trPr>
          <w:trHeight w:val="300"/>
        </w:trPr>
        <w:tc>
          <w:tcPr>
            <w:tcW w:w="3840" w:type="dxa"/>
            <w:tcBorders>
              <w:top w:val="single" w:sz="4" w:space="0" w:color="000000"/>
              <w:left w:val="single" w:sz="4" w:space="0" w:color="000000"/>
              <w:bottom w:val="single" w:sz="4" w:space="0" w:color="000000"/>
              <w:right w:val="single" w:sz="4" w:space="0" w:color="000000"/>
            </w:tcBorders>
            <w:shd w:val="clear" w:color="auto" w:fill="auto"/>
            <w:noWrap/>
            <w:hideMark/>
          </w:tcPr>
          <w:p w:rsidR="00FF5868" w:rsidRPr="004E71D5" w:rsidRDefault="00FF5868" w:rsidP="0016092C">
            <w:pPr>
              <w:spacing w:line="360" w:lineRule="auto"/>
              <w:jc w:val="both"/>
              <w:rPr>
                <w:color w:val="000000"/>
              </w:rPr>
            </w:pPr>
            <w:r w:rsidRPr="004E71D5">
              <w:rPr>
                <w:color w:val="000000"/>
              </w:rPr>
              <w:t>Iné priestory:</w:t>
            </w:r>
          </w:p>
        </w:tc>
        <w:tc>
          <w:tcPr>
            <w:tcW w:w="1539" w:type="dxa"/>
            <w:tcBorders>
              <w:top w:val="nil"/>
              <w:left w:val="nil"/>
              <w:bottom w:val="single" w:sz="4" w:space="0" w:color="000000"/>
              <w:right w:val="nil"/>
            </w:tcBorders>
          </w:tcPr>
          <w:p w:rsidR="00FF5868" w:rsidRPr="004E71D5" w:rsidRDefault="00FF5868" w:rsidP="0016092C">
            <w:pPr>
              <w:spacing w:line="360" w:lineRule="auto"/>
              <w:jc w:val="both"/>
              <w:rPr>
                <w:color w:val="000000"/>
              </w:rPr>
            </w:pPr>
            <w:r w:rsidRPr="004E71D5">
              <w:rPr>
                <w:color w:val="000000"/>
              </w:rPr>
              <w:t>315,45</w:t>
            </w:r>
          </w:p>
        </w:tc>
        <w:tc>
          <w:tcPr>
            <w:tcW w:w="1033" w:type="dxa"/>
            <w:tcBorders>
              <w:top w:val="nil"/>
              <w:left w:val="nil"/>
              <w:bottom w:val="single" w:sz="4" w:space="0" w:color="000000"/>
              <w:right w:val="single" w:sz="4" w:space="0" w:color="000000"/>
            </w:tcBorders>
            <w:shd w:val="clear" w:color="auto" w:fill="auto"/>
            <w:noWrap/>
            <w:hideMark/>
          </w:tcPr>
          <w:p w:rsidR="00FF5868" w:rsidRPr="004E71D5" w:rsidRDefault="00FF5868" w:rsidP="0016092C">
            <w:pPr>
              <w:spacing w:line="360" w:lineRule="auto"/>
              <w:jc w:val="both"/>
              <w:rPr>
                <w:color w:val="000000"/>
              </w:rPr>
            </w:pPr>
            <w:r w:rsidRPr="004E71D5">
              <w:rPr>
                <w:color w:val="000000"/>
              </w:rPr>
              <w:t>nie</w:t>
            </w:r>
          </w:p>
        </w:tc>
        <w:tc>
          <w:tcPr>
            <w:tcW w:w="1033" w:type="dxa"/>
            <w:tcBorders>
              <w:top w:val="nil"/>
              <w:left w:val="nil"/>
              <w:bottom w:val="single" w:sz="4" w:space="0" w:color="000000"/>
              <w:right w:val="single" w:sz="4" w:space="0" w:color="000000"/>
            </w:tcBorders>
            <w:shd w:val="clear" w:color="auto" w:fill="auto"/>
            <w:noWrap/>
            <w:hideMark/>
          </w:tcPr>
          <w:p w:rsidR="00FF5868" w:rsidRPr="004E71D5" w:rsidRDefault="00FF5868" w:rsidP="0016092C">
            <w:pPr>
              <w:spacing w:line="360" w:lineRule="auto"/>
              <w:jc w:val="both"/>
              <w:rPr>
                <w:color w:val="000000"/>
              </w:rPr>
            </w:pPr>
            <w:r w:rsidRPr="004E71D5">
              <w:rPr>
                <w:color w:val="000000"/>
              </w:rPr>
              <w:t>čiastočne</w:t>
            </w:r>
          </w:p>
        </w:tc>
      </w:tr>
      <w:tr w:rsidR="00FF5868" w:rsidRPr="004E71D5" w:rsidTr="0016092C">
        <w:trPr>
          <w:trHeight w:val="300"/>
        </w:trPr>
        <w:tc>
          <w:tcPr>
            <w:tcW w:w="3840" w:type="dxa"/>
            <w:tcBorders>
              <w:top w:val="single" w:sz="4" w:space="0" w:color="000000"/>
              <w:left w:val="single" w:sz="4" w:space="0" w:color="000000"/>
              <w:bottom w:val="single" w:sz="4" w:space="0" w:color="000000"/>
              <w:right w:val="single" w:sz="4" w:space="0" w:color="000000"/>
            </w:tcBorders>
            <w:shd w:val="clear" w:color="000000" w:fill="C0C0C0"/>
            <w:noWrap/>
            <w:hideMark/>
          </w:tcPr>
          <w:p w:rsidR="00FF5868" w:rsidRPr="004E71D5" w:rsidRDefault="00FF5868" w:rsidP="0016092C">
            <w:pPr>
              <w:spacing w:line="360" w:lineRule="auto"/>
              <w:jc w:val="both"/>
              <w:rPr>
                <w:color w:val="000000"/>
              </w:rPr>
            </w:pPr>
            <w:r w:rsidRPr="004E71D5">
              <w:rPr>
                <w:color w:val="000000"/>
              </w:rPr>
              <w:t>Spolu:</w:t>
            </w:r>
          </w:p>
        </w:tc>
        <w:tc>
          <w:tcPr>
            <w:tcW w:w="1539" w:type="dxa"/>
            <w:tcBorders>
              <w:top w:val="single" w:sz="4" w:space="0" w:color="000000"/>
              <w:left w:val="nil"/>
              <w:bottom w:val="single" w:sz="4" w:space="0" w:color="000000"/>
              <w:right w:val="nil"/>
            </w:tcBorders>
            <w:shd w:val="clear" w:color="000000" w:fill="C0C0C0"/>
          </w:tcPr>
          <w:p w:rsidR="00FF5868" w:rsidRPr="004E71D5" w:rsidRDefault="00FF5868" w:rsidP="0016092C">
            <w:pPr>
              <w:spacing w:line="360" w:lineRule="auto"/>
              <w:jc w:val="both"/>
              <w:rPr>
                <w:color w:val="000000"/>
              </w:rPr>
            </w:pPr>
            <w:r w:rsidRPr="004E71D5">
              <w:rPr>
                <w:color w:val="000000"/>
              </w:rPr>
              <w:t>1195,65</w:t>
            </w:r>
          </w:p>
        </w:tc>
        <w:tc>
          <w:tcPr>
            <w:tcW w:w="2066" w:type="dxa"/>
            <w:gridSpan w:val="2"/>
            <w:tcBorders>
              <w:top w:val="single" w:sz="4" w:space="0" w:color="000000"/>
              <w:left w:val="nil"/>
              <w:bottom w:val="single" w:sz="4" w:space="0" w:color="000000"/>
              <w:right w:val="single" w:sz="4" w:space="0" w:color="000000"/>
            </w:tcBorders>
            <w:shd w:val="clear" w:color="000000" w:fill="C0C0C0"/>
            <w:noWrap/>
            <w:hideMark/>
          </w:tcPr>
          <w:p w:rsidR="00FF5868" w:rsidRPr="004E71D5" w:rsidRDefault="00FF5868" w:rsidP="0016092C">
            <w:pPr>
              <w:spacing w:line="360" w:lineRule="auto"/>
              <w:jc w:val="both"/>
              <w:rPr>
                <w:color w:val="000000"/>
              </w:rPr>
            </w:pPr>
            <w:r w:rsidRPr="004E71D5">
              <w:rPr>
                <w:color w:val="000000"/>
              </w:rPr>
              <w:t> </w:t>
            </w:r>
          </w:p>
        </w:tc>
      </w:tr>
    </w:tbl>
    <w:p w:rsidR="00FF5868" w:rsidRPr="004E71D5" w:rsidRDefault="00FF5868" w:rsidP="00FF5868">
      <w:pPr>
        <w:spacing w:line="360" w:lineRule="auto"/>
        <w:jc w:val="both"/>
        <w:rPr>
          <w:bCs/>
          <w:iCs/>
        </w:rPr>
      </w:pPr>
    </w:p>
    <w:p w:rsidR="00FF5868" w:rsidRPr="004E71D5" w:rsidRDefault="00FF5868" w:rsidP="00FF5868">
      <w:pPr>
        <w:spacing w:line="360" w:lineRule="auto"/>
        <w:jc w:val="both"/>
      </w:pPr>
      <w:r w:rsidRPr="004E71D5">
        <w:tab/>
        <w:t>Keďže projekt podaný na pokračovanie rekonštrukčných prác a archeologického výskumu dolného hradu na väčšej ploche nebol v grantovom systéme MK SR podporený, stavebné práce na hrade boli v predmetnom roku prerušené.</w:t>
      </w:r>
      <w:r w:rsidR="008B77FF" w:rsidRPr="004E71D5">
        <w:t xml:space="preserve"> Kratší archeologický výskum bol zrealizovaný v spolupráci s Archeologickým ústavom SAV v období </w:t>
      </w:r>
      <w:r w:rsidR="008B77FF" w:rsidRPr="004E71D5">
        <w:rPr>
          <w:rFonts w:eastAsia="TimesNewRomanPSMT"/>
          <w:noProof w:val="0"/>
          <w:lang w:eastAsia="en-US"/>
        </w:rPr>
        <w:t>21.07.2014 - 08.08.2014.</w:t>
      </w:r>
    </w:p>
    <w:p w:rsidR="00FF5868" w:rsidRPr="004E71D5" w:rsidRDefault="00FF5868" w:rsidP="00FF5868">
      <w:pPr>
        <w:spacing w:line="360" w:lineRule="auto"/>
        <w:jc w:val="both"/>
        <w:rPr>
          <w:b/>
          <w:bCs/>
          <w:iCs/>
        </w:rPr>
      </w:pPr>
    </w:p>
    <w:p w:rsidR="00FF5868" w:rsidRPr="004E71D5" w:rsidRDefault="00FF5868" w:rsidP="00FF5868">
      <w:pPr>
        <w:spacing w:line="360" w:lineRule="auto"/>
        <w:jc w:val="both"/>
        <w:rPr>
          <w:b/>
          <w:bCs/>
          <w:iCs/>
        </w:rPr>
      </w:pPr>
      <w:r w:rsidRPr="004E71D5">
        <w:rPr>
          <w:b/>
          <w:bCs/>
          <w:iCs/>
        </w:rPr>
        <w:t>II. Akvizičná činnosť (nadobúdanie zbierkových predmetov), odborná evidencia, revízia zbierkového fondu</w:t>
      </w:r>
    </w:p>
    <w:p w:rsidR="00FF5868" w:rsidRPr="004E71D5" w:rsidRDefault="00FF5868" w:rsidP="00FF5868">
      <w:pPr>
        <w:spacing w:line="360" w:lineRule="auto"/>
        <w:jc w:val="both"/>
        <w:rPr>
          <w:bCs/>
          <w:iCs/>
        </w:rPr>
      </w:pPr>
      <w:r w:rsidRPr="004E71D5">
        <w:rPr>
          <w:b/>
          <w:bCs/>
          <w:iCs/>
        </w:rPr>
        <w:tab/>
      </w:r>
      <w:r w:rsidRPr="004E71D5">
        <w:rPr>
          <w:bCs/>
          <w:iCs/>
        </w:rPr>
        <w:t>Komisia na tvorb</w:t>
      </w:r>
      <w:r w:rsidR="006F4C07" w:rsidRPr="004E71D5">
        <w:rPr>
          <w:bCs/>
          <w:iCs/>
        </w:rPr>
        <w:t>u zbierok HMF zasadala v r. 2014</w:t>
      </w:r>
      <w:r w:rsidRPr="004E71D5">
        <w:rPr>
          <w:bCs/>
          <w:iCs/>
        </w:rPr>
        <w:t xml:space="preserve"> raz. Zbierky HMF sa rozšírili o </w:t>
      </w:r>
      <w:r w:rsidR="004E3A2A" w:rsidRPr="004E71D5">
        <w:rPr>
          <w:bCs/>
          <w:iCs/>
        </w:rPr>
        <w:t>298</w:t>
      </w:r>
      <w:r w:rsidRPr="004E71D5">
        <w:rPr>
          <w:bCs/>
          <w:iCs/>
        </w:rPr>
        <w:t xml:space="preserve"> nových prírastkov (</w:t>
      </w:r>
      <w:r w:rsidR="004E3A2A" w:rsidRPr="004E71D5">
        <w:rPr>
          <w:bCs/>
          <w:iCs/>
        </w:rPr>
        <w:t>448 kusov), z toho bolo 21 (24</w:t>
      </w:r>
      <w:r w:rsidRPr="004E71D5">
        <w:rPr>
          <w:bCs/>
          <w:iCs/>
        </w:rPr>
        <w:t xml:space="preserve"> kus</w:t>
      </w:r>
      <w:r w:rsidR="004E3A2A" w:rsidRPr="004E71D5">
        <w:rPr>
          <w:bCs/>
          <w:iCs/>
        </w:rPr>
        <w:t>ov) získaných kúpou, 37 (66</w:t>
      </w:r>
      <w:r w:rsidRPr="004E71D5">
        <w:rPr>
          <w:bCs/>
          <w:iCs/>
        </w:rPr>
        <w:t xml:space="preserve"> kusov) darom</w:t>
      </w:r>
      <w:r w:rsidR="004E3A2A" w:rsidRPr="004E71D5">
        <w:rPr>
          <w:bCs/>
          <w:iCs/>
        </w:rPr>
        <w:t xml:space="preserve"> a 240 (358</w:t>
      </w:r>
      <w:r w:rsidRPr="004E71D5">
        <w:rPr>
          <w:bCs/>
          <w:iCs/>
        </w:rPr>
        <w:t xml:space="preserve"> kusov) </w:t>
      </w:r>
      <w:r w:rsidR="004E3A2A" w:rsidRPr="004E71D5">
        <w:rPr>
          <w:bCs/>
          <w:iCs/>
        </w:rPr>
        <w:t>prevodom</w:t>
      </w:r>
      <w:r w:rsidRPr="004E71D5">
        <w:rPr>
          <w:bCs/>
          <w:iCs/>
        </w:rPr>
        <w:t>. Celkový zbierkový fond obsahoval ku koncu roka 20</w:t>
      </w:r>
      <w:r w:rsidR="004E3A2A" w:rsidRPr="004E71D5">
        <w:rPr>
          <w:bCs/>
          <w:iCs/>
        </w:rPr>
        <w:t>14 9.103</w:t>
      </w:r>
      <w:r w:rsidRPr="004E71D5">
        <w:rPr>
          <w:bCs/>
          <w:iCs/>
        </w:rPr>
        <w:t xml:space="preserve"> kusov zbierkov</w:t>
      </w:r>
      <w:r w:rsidR="004E3A2A" w:rsidRPr="004E71D5">
        <w:rPr>
          <w:bCs/>
          <w:iCs/>
        </w:rPr>
        <w:t>ých predmetov vedených pod 2.159</w:t>
      </w:r>
      <w:r w:rsidRPr="004E71D5">
        <w:rPr>
          <w:bCs/>
          <w:iCs/>
        </w:rPr>
        <w:t xml:space="preserve"> prírastkovými číslami. Ďalšia časť zbierok prevzatých od právneho predchodcu inštitúcie, Mestského vlastivedného múzea, je stále vedená v Registračnej knihe HMF.</w:t>
      </w:r>
    </w:p>
    <w:p w:rsidR="00FF5868" w:rsidRPr="004E71D5" w:rsidRDefault="00FF5868" w:rsidP="00FF5868">
      <w:pPr>
        <w:spacing w:line="360" w:lineRule="auto"/>
        <w:jc w:val="both"/>
        <w:rPr>
          <w:bCs/>
          <w:iCs/>
        </w:rPr>
      </w:pP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1607"/>
        <w:gridCol w:w="679"/>
        <w:gridCol w:w="719"/>
        <w:gridCol w:w="710"/>
        <w:gridCol w:w="710"/>
        <w:gridCol w:w="708"/>
        <w:gridCol w:w="708"/>
        <w:gridCol w:w="710"/>
        <w:gridCol w:w="850"/>
        <w:gridCol w:w="852"/>
        <w:gridCol w:w="848"/>
      </w:tblGrid>
      <w:tr w:rsidR="004E3A2A" w:rsidRPr="004E71D5" w:rsidTr="004E3A2A">
        <w:trPr>
          <w:cantSplit/>
        </w:trPr>
        <w:tc>
          <w:tcPr>
            <w:tcW w:w="883" w:type="pct"/>
            <w:shd w:val="clear" w:color="auto" w:fill="C0C0C0"/>
            <w:vAlign w:val="center"/>
          </w:tcPr>
          <w:p w:rsidR="004825E8" w:rsidRPr="004E71D5" w:rsidRDefault="004825E8" w:rsidP="0016092C">
            <w:pPr>
              <w:pStyle w:val="StylTableHeadText"/>
              <w:spacing w:afterAutospacing="0" w:line="360" w:lineRule="auto"/>
              <w:rPr>
                <w:lang w:val="sk-SK"/>
              </w:rPr>
            </w:pPr>
          </w:p>
        </w:tc>
        <w:tc>
          <w:tcPr>
            <w:tcW w:w="768" w:type="pct"/>
            <w:gridSpan w:val="2"/>
            <w:shd w:val="clear" w:color="auto" w:fill="C0C0C0"/>
            <w:vAlign w:val="center"/>
          </w:tcPr>
          <w:p w:rsidR="004825E8" w:rsidRPr="004E71D5" w:rsidRDefault="004825E8" w:rsidP="0016092C">
            <w:pPr>
              <w:pStyle w:val="StylTableHeadText"/>
              <w:spacing w:afterAutospacing="0" w:line="360" w:lineRule="auto"/>
              <w:rPr>
                <w:lang w:val="sk-SK"/>
              </w:rPr>
            </w:pPr>
            <w:r w:rsidRPr="004E71D5">
              <w:rPr>
                <w:lang w:val="sk-SK"/>
              </w:rPr>
              <w:t>Prírastky spolu:</w:t>
            </w:r>
          </w:p>
        </w:tc>
        <w:tc>
          <w:tcPr>
            <w:tcW w:w="779" w:type="pct"/>
            <w:gridSpan w:val="2"/>
            <w:shd w:val="clear" w:color="auto" w:fill="C0C0C0"/>
            <w:vAlign w:val="center"/>
          </w:tcPr>
          <w:p w:rsidR="004825E8" w:rsidRPr="004E71D5" w:rsidRDefault="004825E8" w:rsidP="0016092C">
            <w:pPr>
              <w:pStyle w:val="StylTableHeadText"/>
              <w:spacing w:afterAutospacing="0" w:line="360" w:lineRule="auto"/>
              <w:rPr>
                <w:lang w:val="sk-SK"/>
              </w:rPr>
            </w:pPr>
            <w:r w:rsidRPr="004E71D5">
              <w:rPr>
                <w:lang w:val="sk-SK"/>
              </w:rPr>
              <w:t>Kúpa:</w:t>
            </w:r>
          </w:p>
        </w:tc>
        <w:tc>
          <w:tcPr>
            <w:tcW w:w="778" w:type="pct"/>
            <w:gridSpan w:val="2"/>
            <w:shd w:val="clear" w:color="auto" w:fill="C0C0C0"/>
            <w:vAlign w:val="center"/>
          </w:tcPr>
          <w:p w:rsidR="004825E8" w:rsidRPr="004E71D5" w:rsidRDefault="004825E8" w:rsidP="0016092C">
            <w:pPr>
              <w:pStyle w:val="StylTableHeadText"/>
              <w:spacing w:afterAutospacing="0" w:line="360" w:lineRule="auto"/>
              <w:rPr>
                <w:lang w:val="sk-SK"/>
              </w:rPr>
            </w:pPr>
            <w:r w:rsidRPr="004E71D5">
              <w:rPr>
                <w:lang w:val="sk-SK"/>
              </w:rPr>
              <w:t>Dar:</w:t>
            </w:r>
          </w:p>
        </w:tc>
        <w:tc>
          <w:tcPr>
            <w:tcW w:w="857" w:type="pct"/>
            <w:gridSpan w:val="2"/>
            <w:shd w:val="clear" w:color="auto" w:fill="C0C0C0"/>
            <w:vAlign w:val="center"/>
          </w:tcPr>
          <w:p w:rsidR="004825E8" w:rsidRPr="004E71D5" w:rsidRDefault="004825E8" w:rsidP="0016092C">
            <w:pPr>
              <w:pStyle w:val="StylTableHeadText"/>
              <w:spacing w:afterAutospacing="0" w:line="360" w:lineRule="auto"/>
              <w:rPr>
                <w:lang w:val="sk-SK"/>
              </w:rPr>
            </w:pPr>
            <w:r w:rsidRPr="004E71D5">
              <w:rPr>
                <w:lang w:val="sk-SK"/>
              </w:rPr>
              <w:t>Vlastný výskum:</w:t>
            </w:r>
          </w:p>
        </w:tc>
        <w:tc>
          <w:tcPr>
            <w:tcW w:w="935" w:type="pct"/>
            <w:gridSpan w:val="2"/>
            <w:shd w:val="clear" w:color="auto" w:fill="C0C0C0"/>
          </w:tcPr>
          <w:p w:rsidR="004825E8" w:rsidRPr="004E71D5" w:rsidRDefault="004825E8" w:rsidP="0016092C">
            <w:pPr>
              <w:pStyle w:val="StylTableHeadText"/>
              <w:spacing w:afterAutospacing="0" w:line="360" w:lineRule="auto"/>
              <w:rPr>
                <w:lang w:val="sk-SK"/>
              </w:rPr>
            </w:pPr>
            <w:r w:rsidRPr="004E71D5">
              <w:rPr>
                <w:lang w:val="sk-SK"/>
              </w:rPr>
              <w:t>Prevod:</w:t>
            </w:r>
          </w:p>
        </w:tc>
      </w:tr>
      <w:tr w:rsidR="004E3A2A" w:rsidRPr="004E71D5" w:rsidTr="004E3A2A">
        <w:trPr>
          <w:cantSplit/>
        </w:trPr>
        <w:tc>
          <w:tcPr>
            <w:tcW w:w="883" w:type="pct"/>
            <w:shd w:val="clear" w:color="auto" w:fill="C0C0C0"/>
            <w:vAlign w:val="center"/>
          </w:tcPr>
          <w:p w:rsidR="004825E8" w:rsidRPr="004E71D5" w:rsidRDefault="004825E8" w:rsidP="0016092C">
            <w:pPr>
              <w:pStyle w:val="StylTableHeadText"/>
              <w:spacing w:before="100" w:afterAutospacing="0" w:line="360" w:lineRule="auto"/>
              <w:rPr>
                <w:lang w:val="sk-SK"/>
              </w:rPr>
            </w:pPr>
            <w:r w:rsidRPr="004E71D5">
              <w:rPr>
                <w:lang w:val="sk-SK"/>
              </w:rPr>
              <w:t>Odbor:</w:t>
            </w:r>
          </w:p>
        </w:tc>
        <w:tc>
          <w:tcPr>
            <w:tcW w:w="373" w:type="pct"/>
            <w:shd w:val="clear" w:color="auto" w:fill="C0C0C0"/>
            <w:vAlign w:val="center"/>
          </w:tcPr>
          <w:p w:rsidR="004825E8" w:rsidRPr="004E71D5" w:rsidRDefault="004825E8" w:rsidP="0016092C">
            <w:pPr>
              <w:pStyle w:val="StylTableHeadText"/>
              <w:spacing w:afterAutospacing="0" w:line="360" w:lineRule="auto"/>
              <w:rPr>
                <w:lang w:val="sk-SK"/>
              </w:rPr>
            </w:pPr>
            <w:r w:rsidRPr="004E71D5">
              <w:rPr>
                <w:lang w:val="sk-SK"/>
              </w:rPr>
              <w:t>prír. č.:</w:t>
            </w:r>
          </w:p>
        </w:tc>
        <w:tc>
          <w:tcPr>
            <w:tcW w:w="395" w:type="pct"/>
            <w:shd w:val="clear" w:color="auto" w:fill="C0C0C0"/>
            <w:vAlign w:val="center"/>
          </w:tcPr>
          <w:p w:rsidR="004825E8" w:rsidRPr="004E71D5" w:rsidRDefault="004825E8" w:rsidP="0016092C">
            <w:pPr>
              <w:pStyle w:val="StylTableHeadText"/>
              <w:spacing w:afterAutospacing="0" w:line="360" w:lineRule="auto"/>
              <w:rPr>
                <w:lang w:val="sk-SK"/>
              </w:rPr>
            </w:pPr>
            <w:r w:rsidRPr="004E71D5">
              <w:rPr>
                <w:lang w:val="sk-SK"/>
              </w:rPr>
              <w:t>ks:</w:t>
            </w:r>
          </w:p>
        </w:tc>
        <w:tc>
          <w:tcPr>
            <w:tcW w:w="390" w:type="pct"/>
            <w:shd w:val="clear" w:color="auto" w:fill="C0C0C0"/>
            <w:vAlign w:val="center"/>
          </w:tcPr>
          <w:p w:rsidR="004825E8" w:rsidRPr="004E71D5" w:rsidRDefault="004825E8" w:rsidP="0016092C">
            <w:pPr>
              <w:pStyle w:val="StylTableHeadText"/>
              <w:spacing w:afterAutospacing="0" w:line="360" w:lineRule="auto"/>
              <w:rPr>
                <w:lang w:val="sk-SK"/>
              </w:rPr>
            </w:pPr>
            <w:r w:rsidRPr="004E71D5">
              <w:rPr>
                <w:lang w:val="sk-SK"/>
              </w:rPr>
              <w:t>prír. č.:</w:t>
            </w:r>
          </w:p>
        </w:tc>
        <w:tc>
          <w:tcPr>
            <w:tcW w:w="390" w:type="pct"/>
            <w:shd w:val="clear" w:color="auto" w:fill="C0C0C0"/>
            <w:vAlign w:val="center"/>
          </w:tcPr>
          <w:p w:rsidR="004825E8" w:rsidRPr="004E71D5" w:rsidRDefault="004825E8" w:rsidP="0016092C">
            <w:pPr>
              <w:pStyle w:val="StylTableHeadText"/>
              <w:spacing w:afterAutospacing="0" w:line="360" w:lineRule="auto"/>
              <w:rPr>
                <w:lang w:val="sk-SK"/>
              </w:rPr>
            </w:pPr>
            <w:r w:rsidRPr="004E71D5">
              <w:rPr>
                <w:lang w:val="sk-SK"/>
              </w:rPr>
              <w:t>ks:</w:t>
            </w:r>
          </w:p>
        </w:tc>
        <w:tc>
          <w:tcPr>
            <w:tcW w:w="389" w:type="pct"/>
            <w:shd w:val="clear" w:color="auto" w:fill="C0C0C0"/>
            <w:vAlign w:val="center"/>
          </w:tcPr>
          <w:p w:rsidR="004825E8" w:rsidRPr="004E71D5" w:rsidRDefault="004825E8" w:rsidP="0016092C">
            <w:pPr>
              <w:pStyle w:val="StylTableHeadText"/>
              <w:spacing w:afterAutospacing="0" w:line="360" w:lineRule="auto"/>
              <w:rPr>
                <w:lang w:val="sk-SK"/>
              </w:rPr>
            </w:pPr>
            <w:r w:rsidRPr="004E71D5">
              <w:rPr>
                <w:lang w:val="sk-SK"/>
              </w:rPr>
              <w:t>prír. č.:</w:t>
            </w:r>
          </w:p>
        </w:tc>
        <w:tc>
          <w:tcPr>
            <w:tcW w:w="389" w:type="pct"/>
            <w:shd w:val="clear" w:color="auto" w:fill="C0C0C0"/>
            <w:vAlign w:val="center"/>
          </w:tcPr>
          <w:p w:rsidR="004825E8" w:rsidRPr="004E71D5" w:rsidRDefault="004825E8" w:rsidP="0016092C">
            <w:pPr>
              <w:pStyle w:val="StylTableHeadText"/>
              <w:spacing w:afterAutospacing="0" w:line="360" w:lineRule="auto"/>
              <w:rPr>
                <w:lang w:val="sk-SK"/>
              </w:rPr>
            </w:pPr>
            <w:r w:rsidRPr="004E71D5">
              <w:rPr>
                <w:lang w:val="sk-SK"/>
              </w:rPr>
              <w:t>ks:</w:t>
            </w:r>
          </w:p>
        </w:tc>
        <w:tc>
          <w:tcPr>
            <w:tcW w:w="390" w:type="pct"/>
            <w:shd w:val="clear" w:color="auto" w:fill="C0C0C0"/>
            <w:vAlign w:val="center"/>
          </w:tcPr>
          <w:p w:rsidR="004825E8" w:rsidRPr="004E71D5" w:rsidRDefault="004825E8" w:rsidP="0016092C">
            <w:pPr>
              <w:pStyle w:val="StylTableHeadText"/>
              <w:spacing w:afterAutospacing="0" w:line="360" w:lineRule="auto"/>
              <w:rPr>
                <w:lang w:val="sk-SK"/>
              </w:rPr>
            </w:pPr>
            <w:r w:rsidRPr="004E71D5">
              <w:rPr>
                <w:lang w:val="sk-SK"/>
              </w:rPr>
              <w:t>prír. č.:</w:t>
            </w:r>
          </w:p>
        </w:tc>
        <w:tc>
          <w:tcPr>
            <w:tcW w:w="467" w:type="pct"/>
            <w:shd w:val="clear" w:color="auto" w:fill="C0C0C0"/>
            <w:vAlign w:val="center"/>
          </w:tcPr>
          <w:p w:rsidR="004825E8" w:rsidRPr="004E71D5" w:rsidRDefault="004825E8" w:rsidP="0016092C">
            <w:pPr>
              <w:pStyle w:val="StylTableHeadText"/>
              <w:spacing w:afterAutospacing="0" w:line="360" w:lineRule="auto"/>
              <w:rPr>
                <w:lang w:val="sk-SK"/>
              </w:rPr>
            </w:pPr>
            <w:r w:rsidRPr="004E71D5">
              <w:rPr>
                <w:lang w:val="sk-SK"/>
              </w:rPr>
              <w:t>ks:</w:t>
            </w:r>
          </w:p>
        </w:tc>
        <w:tc>
          <w:tcPr>
            <w:tcW w:w="468" w:type="pct"/>
            <w:shd w:val="clear" w:color="auto" w:fill="C0C0C0"/>
          </w:tcPr>
          <w:p w:rsidR="004825E8" w:rsidRPr="004E71D5" w:rsidRDefault="004825E8" w:rsidP="0016092C">
            <w:pPr>
              <w:pStyle w:val="StylTableHeadText"/>
              <w:spacing w:afterAutospacing="0" w:line="360" w:lineRule="auto"/>
              <w:rPr>
                <w:lang w:val="sk-SK"/>
              </w:rPr>
            </w:pPr>
            <w:r w:rsidRPr="004E71D5">
              <w:rPr>
                <w:lang w:val="sk-SK"/>
              </w:rPr>
              <w:t>Prír. č.:</w:t>
            </w:r>
          </w:p>
        </w:tc>
        <w:tc>
          <w:tcPr>
            <w:tcW w:w="467" w:type="pct"/>
            <w:shd w:val="clear" w:color="auto" w:fill="C0C0C0"/>
          </w:tcPr>
          <w:p w:rsidR="004825E8" w:rsidRPr="004E71D5" w:rsidRDefault="004825E8" w:rsidP="0016092C">
            <w:pPr>
              <w:pStyle w:val="StylTableHeadText"/>
              <w:spacing w:afterAutospacing="0" w:line="360" w:lineRule="auto"/>
              <w:rPr>
                <w:lang w:val="sk-SK"/>
              </w:rPr>
            </w:pPr>
            <w:r w:rsidRPr="004E71D5">
              <w:rPr>
                <w:lang w:val="sk-SK"/>
              </w:rPr>
              <w:t>ks:</w:t>
            </w:r>
          </w:p>
        </w:tc>
      </w:tr>
      <w:tr w:rsidR="004E3A2A" w:rsidRPr="004E71D5" w:rsidTr="004E3A2A">
        <w:trPr>
          <w:cantSplit/>
        </w:trPr>
        <w:tc>
          <w:tcPr>
            <w:tcW w:w="883" w:type="pct"/>
            <w:vAlign w:val="center"/>
          </w:tcPr>
          <w:p w:rsidR="004825E8" w:rsidRPr="004E71D5" w:rsidRDefault="004825E8" w:rsidP="0016092C">
            <w:pPr>
              <w:pStyle w:val="StylTableText"/>
              <w:spacing w:afterAutospacing="0" w:line="360" w:lineRule="auto"/>
              <w:rPr>
                <w:lang w:val="sk-SK"/>
              </w:rPr>
            </w:pPr>
            <w:r w:rsidRPr="004E71D5">
              <w:rPr>
                <w:lang w:val="sk-SK"/>
              </w:rPr>
              <w:t>Archeológia</w:t>
            </w:r>
          </w:p>
        </w:tc>
        <w:tc>
          <w:tcPr>
            <w:tcW w:w="373" w:type="pct"/>
            <w:vAlign w:val="center"/>
          </w:tcPr>
          <w:p w:rsidR="004825E8" w:rsidRPr="004E71D5" w:rsidRDefault="004825E8" w:rsidP="0016092C">
            <w:pPr>
              <w:pStyle w:val="StylTableNumber"/>
              <w:spacing w:afterAutospacing="0" w:line="360" w:lineRule="auto"/>
              <w:rPr>
                <w:lang w:val="sk-SK"/>
              </w:rPr>
            </w:pPr>
            <w:r w:rsidRPr="004E71D5">
              <w:rPr>
                <w:lang w:val="sk-SK"/>
              </w:rPr>
              <w:t>0</w:t>
            </w:r>
          </w:p>
        </w:tc>
        <w:tc>
          <w:tcPr>
            <w:tcW w:w="395" w:type="pct"/>
            <w:vAlign w:val="center"/>
          </w:tcPr>
          <w:p w:rsidR="004825E8" w:rsidRPr="004E71D5" w:rsidRDefault="004825E8" w:rsidP="0016092C">
            <w:pPr>
              <w:pStyle w:val="StylTableNumber"/>
              <w:spacing w:afterAutospacing="0" w:line="360" w:lineRule="auto"/>
              <w:rPr>
                <w:lang w:val="sk-SK"/>
              </w:rPr>
            </w:pPr>
            <w:r w:rsidRPr="004E71D5">
              <w:rPr>
                <w:lang w:val="sk-SK"/>
              </w:rPr>
              <w:t>0</w:t>
            </w:r>
          </w:p>
        </w:tc>
        <w:tc>
          <w:tcPr>
            <w:tcW w:w="390" w:type="pct"/>
            <w:vAlign w:val="center"/>
          </w:tcPr>
          <w:p w:rsidR="004825E8" w:rsidRPr="004E71D5" w:rsidRDefault="004825E8" w:rsidP="0016092C">
            <w:pPr>
              <w:pStyle w:val="StylTableNumber"/>
              <w:spacing w:afterAutospacing="0" w:line="360" w:lineRule="auto"/>
              <w:rPr>
                <w:lang w:val="sk-SK"/>
              </w:rPr>
            </w:pPr>
            <w:r w:rsidRPr="004E71D5">
              <w:rPr>
                <w:lang w:val="sk-SK"/>
              </w:rPr>
              <w:t>0</w:t>
            </w:r>
          </w:p>
        </w:tc>
        <w:tc>
          <w:tcPr>
            <w:tcW w:w="390" w:type="pct"/>
            <w:vAlign w:val="center"/>
          </w:tcPr>
          <w:p w:rsidR="004825E8" w:rsidRPr="004E71D5" w:rsidRDefault="004825E8" w:rsidP="0016092C">
            <w:pPr>
              <w:pStyle w:val="StylTableNumber"/>
              <w:spacing w:afterAutospacing="0" w:line="360" w:lineRule="auto"/>
              <w:rPr>
                <w:lang w:val="sk-SK"/>
              </w:rPr>
            </w:pPr>
            <w:r w:rsidRPr="004E71D5">
              <w:rPr>
                <w:lang w:val="sk-SK"/>
              </w:rPr>
              <w:t>0</w:t>
            </w:r>
          </w:p>
        </w:tc>
        <w:tc>
          <w:tcPr>
            <w:tcW w:w="389" w:type="pct"/>
            <w:vAlign w:val="center"/>
          </w:tcPr>
          <w:p w:rsidR="004825E8" w:rsidRPr="004E71D5" w:rsidRDefault="004825E8" w:rsidP="0016092C">
            <w:pPr>
              <w:pStyle w:val="StylTableNumber"/>
              <w:spacing w:afterAutospacing="0" w:line="360" w:lineRule="auto"/>
              <w:rPr>
                <w:lang w:val="sk-SK"/>
              </w:rPr>
            </w:pPr>
            <w:r w:rsidRPr="004E71D5">
              <w:rPr>
                <w:lang w:val="sk-SK"/>
              </w:rPr>
              <w:t>0</w:t>
            </w:r>
          </w:p>
        </w:tc>
        <w:tc>
          <w:tcPr>
            <w:tcW w:w="389" w:type="pct"/>
            <w:vAlign w:val="center"/>
          </w:tcPr>
          <w:p w:rsidR="004825E8" w:rsidRPr="004E71D5" w:rsidRDefault="004825E8" w:rsidP="0016092C">
            <w:pPr>
              <w:pStyle w:val="StylTableNumber"/>
              <w:spacing w:afterAutospacing="0" w:line="360" w:lineRule="auto"/>
              <w:rPr>
                <w:lang w:val="sk-SK"/>
              </w:rPr>
            </w:pPr>
            <w:r w:rsidRPr="004E71D5">
              <w:rPr>
                <w:lang w:val="sk-SK"/>
              </w:rPr>
              <w:t>0</w:t>
            </w:r>
          </w:p>
        </w:tc>
        <w:tc>
          <w:tcPr>
            <w:tcW w:w="390" w:type="pct"/>
            <w:vAlign w:val="center"/>
          </w:tcPr>
          <w:p w:rsidR="004825E8" w:rsidRPr="004E71D5" w:rsidRDefault="004825E8" w:rsidP="0016092C">
            <w:pPr>
              <w:pStyle w:val="StylTableNumber"/>
              <w:spacing w:afterAutospacing="0" w:line="360" w:lineRule="auto"/>
              <w:rPr>
                <w:lang w:val="sk-SK"/>
              </w:rPr>
            </w:pPr>
            <w:r w:rsidRPr="004E71D5">
              <w:rPr>
                <w:lang w:val="sk-SK"/>
              </w:rPr>
              <w:t>0</w:t>
            </w:r>
          </w:p>
        </w:tc>
        <w:tc>
          <w:tcPr>
            <w:tcW w:w="467" w:type="pct"/>
            <w:vAlign w:val="center"/>
          </w:tcPr>
          <w:p w:rsidR="004825E8" w:rsidRPr="004E71D5" w:rsidRDefault="004825E8" w:rsidP="0016092C">
            <w:pPr>
              <w:pStyle w:val="StylTableNumber"/>
              <w:spacing w:afterAutospacing="0" w:line="360" w:lineRule="auto"/>
              <w:rPr>
                <w:lang w:val="sk-SK"/>
              </w:rPr>
            </w:pPr>
            <w:r w:rsidRPr="004E71D5">
              <w:rPr>
                <w:lang w:val="sk-SK"/>
              </w:rPr>
              <w:t>0</w:t>
            </w:r>
          </w:p>
        </w:tc>
        <w:tc>
          <w:tcPr>
            <w:tcW w:w="468" w:type="pct"/>
          </w:tcPr>
          <w:p w:rsidR="004825E8" w:rsidRPr="004E71D5" w:rsidRDefault="004825E8" w:rsidP="0016092C">
            <w:pPr>
              <w:pStyle w:val="StylTableNumber"/>
              <w:spacing w:afterAutospacing="0" w:line="360" w:lineRule="auto"/>
              <w:rPr>
                <w:lang w:val="sk-SK"/>
              </w:rPr>
            </w:pPr>
            <w:r w:rsidRPr="004E71D5">
              <w:rPr>
                <w:lang w:val="sk-SK"/>
              </w:rPr>
              <w:t>0</w:t>
            </w:r>
          </w:p>
        </w:tc>
        <w:tc>
          <w:tcPr>
            <w:tcW w:w="467" w:type="pct"/>
          </w:tcPr>
          <w:p w:rsidR="004825E8" w:rsidRPr="004E71D5" w:rsidRDefault="004825E8" w:rsidP="0016092C">
            <w:pPr>
              <w:pStyle w:val="StylTableNumber"/>
              <w:spacing w:afterAutospacing="0" w:line="360" w:lineRule="auto"/>
              <w:rPr>
                <w:lang w:val="sk-SK"/>
              </w:rPr>
            </w:pPr>
          </w:p>
        </w:tc>
      </w:tr>
      <w:tr w:rsidR="004E3A2A" w:rsidRPr="004E71D5" w:rsidTr="004E3A2A">
        <w:trPr>
          <w:cantSplit/>
        </w:trPr>
        <w:tc>
          <w:tcPr>
            <w:tcW w:w="883" w:type="pct"/>
            <w:vAlign w:val="center"/>
          </w:tcPr>
          <w:p w:rsidR="004825E8" w:rsidRPr="004E71D5" w:rsidRDefault="004825E8" w:rsidP="0016092C">
            <w:pPr>
              <w:pStyle w:val="StylTableText"/>
              <w:spacing w:afterAutospacing="0" w:line="360" w:lineRule="auto"/>
              <w:rPr>
                <w:lang w:val="sk-SK"/>
              </w:rPr>
            </w:pPr>
            <w:r w:rsidRPr="004E71D5">
              <w:rPr>
                <w:lang w:val="sk-SK"/>
              </w:rPr>
              <w:t>História</w:t>
            </w:r>
          </w:p>
        </w:tc>
        <w:tc>
          <w:tcPr>
            <w:tcW w:w="373" w:type="pct"/>
            <w:vAlign w:val="center"/>
          </w:tcPr>
          <w:p w:rsidR="004825E8" w:rsidRPr="004E71D5" w:rsidRDefault="004825E8" w:rsidP="0016092C">
            <w:pPr>
              <w:pStyle w:val="StylTableNumber"/>
              <w:spacing w:afterAutospacing="0" w:line="360" w:lineRule="auto"/>
              <w:rPr>
                <w:lang w:val="sk-SK"/>
              </w:rPr>
            </w:pPr>
            <w:r w:rsidRPr="004E71D5">
              <w:rPr>
                <w:lang w:val="sk-SK"/>
              </w:rPr>
              <w:t>189</w:t>
            </w:r>
          </w:p>
        </w:tc>
        <w:tc>
          <w:tcPr>
            <w:tcW w:w="395" w:type="pct"/>
            <w:vAlign w:val="center"/>
          </w:tcPr>
          <w:p w:rsidR="004825E8" w:rsidRPr="004E71D5" w:rsidRDefault="004825E8" w:rsidP="0016092C">
            <w:pPr>
              <w:pStyle w:val="StylTableNumber"/>
              <w:spacing w:afterAutospacing="0" w:line="360" w:lineRule="auto"/>
              <w:rPr>
                <w:lang w:val="sk-SK"/>
              </w:rPr>
            </w:pPr>
            <w:r w:rsidRPr="004E71D5">
              <w:rPr>
                <w:lang w:val="sk-SK"/>
              </w:rPr>
              <w:t>258</w:t>
            </w:r>
          </w:p>
        </w:tc>
        <w:tc>
          <w:tcPr>
            <w:tcW w:w="390" w:type="pct"/>
            <w:vAlign w:val="center"/>
          </w:tcPr>
          <w:p w:rsidR="004825E8" w:rsidRPr="004E71D5" w:rsidRDefault="004825E8" w:rsidP="0016092C">
            <w:pPr>
              <w:pStyle w:val="StylTableNumber"/>
              <w:spacing w:afterAutospacing="0" w:line="360" w:lineRule="auto"/>
              <w:rPr>
                <w:lang w:val="sk-SK"/>
              </w:rPr>
            </w:pPr>
            <w:r w:rsidRPr="004E71D5">
              <w:rPr>
                <w:lang w:val="sk-SK"/>
              </w:rPr>
              <w:t>14</w:t>
            </w:r>
          </w:p>
        </w:tc>
        <w:tc>
          <w:tcPr>
            <w:tcW w:w="390" w:type="pct"/>
            <w:vAlign w:val="center"/>
          </w:tcPr>
          <w:p w:rsidR="004825E8" w:rsidRPr="004E71D5" w:rsidRDefault="004825E8" w:rsidP="0016092C">
            <w:pPr>
              <w:pStyle w:val="StylTableNumber"/>
              <w:spacing w:afterAutospacing="0" w:line="360" w:lineRule="auto"/>
              <w:rPr>
                <w:lang w:val="sk-SK"/>
              </w:rPr>
            </w:pPr>
            <w:r w:rsidRPr="004E71D5">
              <w:rPr>
                <w:lang w:val="sk-SK"/>
              </w:rPr>
              <w:t>17</w:t>
            </w:r>
          </w:p>
        </w:tc>
        <w:tc>
          <w:tcPr>
            <w:tcW w:w="389" w:type="pct"/>
            <w:vAlign w:val="center"/>
          </w:tcPr>
          <w:p w:rsidR="004825E8" w:rsidRPr="004E71D5" w:rsidRDefault="004825E8" w:rsidP="0016092C">
            <w:pPr>
              <w:pStyle w:val="StylTableNumber"/>
              <w:spacing w:afterAutospacing="0" w:line="360" w:lineRule="auto"/>
              <w:rPr>
                <w:lang w:val="sk-SK"/>
              </w:rPr>
            </w:pPr>
            <w:r w:rsidRPr="004E71D5">
              <w:rPr>
                <w:lang w:val="sk-SK"/>
              </w:rPr>
              <w:t>33</w:t>
            </w:r>
          </w:p>
        </w:tc>
        <w:tc>
          <w:tcPr>
            <w:tcW w:w="389" w:type="pct"/>
            <w:vAlign w:val="center"/>
          </w:tcPr>
          <w:p w:rsidR="004825E8" w:rsidRPr="004E71D5" w:rsidRDefault="004825E8" w:rsidP="0016092C">
            <w:pPr>
              <w:pStyle w:val="StylTableNumber"/>
              <w:spacing w:afterAutospacing="0" w:line="360" w:lineRule="auto"/>
              <w:rPr>
                <w:lang w:val="sk-SK"/>
              </w:rPr>
            </w:pPr>
            <w:r w:rsidRPr="004E71D5">
              <w:rPr>
                <w:lang w:val="sk-SK"/>
              </w:rPr>
              <w:t>61</w:t>
            </w:r>
          </w:p>
        </w:tc>
        <w:tc>
          <w:tcPr>
            <w:tcW w:w="390" w:type="pct"/>
            <w:vAlign w:val="center"/>
          </w:tcPr>
          <w:p w:rsidR="004825E8" w:rsidRPr="004E71D5" w:rsidRDefault="004825E8" w:rsidP="0016092C">
            <w:pPr>
              <w:pStyle w:val="StylTableNumber"/>
              <w:spacing w:afterAutospacing="0" w:line="360" w:lineRule="auto"/>
              <w:rPr>
                <w:lang w:val="sk-SK"/>
              </w:rPr>
            </w:pPr>
            <w:r w:rsidRPr="004E71D5">
              <w:rPr>
                <w:lang w:val="sk-SK"/>
              </w:rPr>
              <w:t>0</w:t>
            </w:r>
          </w:p>
        </w:tc>
        <w:tc>
          <w:tcPr>
            <w:tcW w:w="467" w:type="pct"/>
            <w:vAlign w:val="center"/>
          </w:tcPr>
          <w:p w:rsidR="004825E8" w:rsidRPr="004E71D5" w:rsidRDefault="004825E8" w:rsidP="0016092C">
            <w:pPr>
              <w:pStyle w:val="StylTableNumber"/>
              <w:spacing w:afterAutospacing="0" w:line="360" w:lineRule="auto"/>
              <w:rPr>
                <w:lang w:val="sk-SK"/>
              </w:rPr>
            </w:pPr>
            <w:r w:rsidRPr="004E71D5">
              <w:rPr>
                <w:lang w:val="sk-SK"/>
              </w:rPr>
              <w:t>0</w:t>
            </w:r>
          </w:p>
        </w:tc>
        <w:tc>
          <w:tcPr>
            <w:tcW w:w="468" w:type="pct"/>
          </w:tcPr>
          <w:p w:rsidR="004825E8" w:rsidRPr="004E71D5" w:rsidRDefault="004825E8" w:rsidP="0016092C">
            <w:pPr>
              <w:pStyle w:val="StylTableNumber"/>
              <w:spacing w:afterAutospacing="0" w:line="360" w:lineRule="auto"/>
              <w:rPr>
                <w:lang w:val="sk-SK"/>
              </w:rPr>
            </w:pPr>
            <w:r w:rsidRPr="004E71D5">
              <w:rPr>
                <w:lang w:val="sk-SK"/>
              </w:rPr>
              <w:t>142</w:t>
            </w:r>
          </w:p>
        </w:tc>
        <w:tc>
          <w:tcPr>
            <w:tcW w:w="467" w:type="pct"/>
          </w:tcPr>
          <w:p w:rsidR="004825E8" w:rsidRPr="004E71D5" w:rsidRDefault="004825E8" w:rsidP="0016092C">
            <w:pPr>
              <w:pStyle w:val="StylTableNumber"/>
              <w:spacing w:afterAutospacing="0" w:line="360" w:lineRule="auto"/>
              <w:rPr>
                <w:lang w:val="sk-SK"/>
              </w:rPr>
            </w:pPr>
            <w:r w:rsidRPr="004E71D5">
              <w:rPr>
                <w:lang w:val="sk-SK"/>
              </w:rPr>
              <w:t>180</w:t>
            </w:r>
          </w:p>
        </w:tc>
      </w:tr>
      <w:tr w:rsidR="004E3A2A" w:rsidRPr="004E71D5" w:rsidTr="004E3A2A">
        <w:trPr>
          <w:cantSplit/>
        </w:trPr>
        <w:tc>
          <w:tcPr>
            <w:tcW w:w="883" w:type="pct"/>
            <w:vAlign w:val="center"/>
          </w:tcPr>
          <w:p w:rsidR="004825E8" w:rsidRPr="004E71D5" w:rsidRDefault="004825E8" w:rsidP="0016092C">
            <w:pPr>
              <w:pStyle w:val="StylTableText"/>
              <w:spacing w:afterAutospacing="0" w:line="360" w:lineRule="auto"/>
              <w:rPr>
                <w:lang w:val="sk-SK"/>
              </w:rPr>
            </w:pPr>
            <w:r w:rsidRPr="004E71D5">
              <w:rPr>
                <w:lang w:val="sk-SK"/>
              </w:rPr>
              <w:t>Etnografia</w:t>
            </w:r>
          </w:p>
        </w:tc>
        <w:tc>
          <w:tcPr>
            <w:tcW w:w="373" w:type="pct"/>
            <w:vAlign w:val="center"/>
          </w:tcPr>
          <w:p w:rsidR="004825E8" w:rsidRPr="004E71D5" w:rsidRDefault="004825E8" w:rsidP="0016092C">
            <w:pPr>
              <w:pStyle w:val="StylTableNumber"/>
              <w:spacing w:afterAutospacing="0" w:line="360" w:lineRule="auto"/>
              <w:rPr>
                <w:lang w:val="sk-SK"/>
              </w:rPr>
            </w:pPr>
            <w:r w:rsidRPr="004E71D5">
              <w:rPr>
                <w:lang w:val="sk-SK"/>
              </w:rPr>
              <w:t>105</w:t>
            </w:r>
          </w:p>
        </w:tc>
        <w:tc>
          <w:tcPr>
            <w:tcW w:w="395" w:type="pct"/>
            <w:vAlign w:val="center"/>
          </w:tcPr>
          <w:p w:rsidR="004825E8" w:rsidRPr="004E71D5" w:rsidRDefault="004825E8" w:rsidP="0016092C">
            <w:pPr>
              <w:pStyle w:val="StylTableNumber"/>
              <w:spacing w:afterAutospacing="0" w:line="360" w:lineRule="auto"/>
              <w:rPr>
                <w:lang w:val="sk-SK"/>
              </w:rPr>
            </w:pPr>
            <w:r w:rsidRPr="004E71D5">
              <w:rPr>
                <w:lang w:val="sk-SK"/>
              </w:rPr>
              <w:t>186</w:t>
            </w:r>
          </w:p>
        </w:tc>
        <w:tc>
          <w:tcPr>
            <w:tcW w:w="390" w:type="pct"/>
            <w:vAlign w:val="center"/>
          </w:tcPr>
          <w:p w:rsidR="004825E8" w:rsidRPr="004E71D5" w:rsidRDefault="004825E8" w:rsidP="0016092C">
            <w:pPr>
              <w:pStyle w:val="StylTableNumber"/>
              <w:spacing w:afterAutospacing="0" w:line="360" w:lineRule="auto"/>
              <w:rPr>
                <w:lang w:val="sk-SK"/>
              </w:rPr>
            </w:pPr>
            <w:r w:rsidRPr="004E71D5">
              <w:rPr>
                <w:lang w:val="sk-SK"/>
              </w:rPr>
              <w:t>5</w:t>
            </w:r>
          </w:p>
        </w:tc>
        <w:tc>
          <w:tcPr>
            <w:tcW w:w="390" w:type="pct"/>
            <w:vAlign w:val="center"/>
          </w:tcPr>
          <w:p w:rsidR="004825E8" w:rsidRPr="004E71D5" w:rsidRDefault="004825E8" w:rsidP="0016092C">
            <w:pPr>
              <w:pStyle w:val="StylTableNumber"/>
              <w:spacing w:afterAutospacing="0" w:line="360" w:lineRule="auto"/>
              <w:rPr>
                <w:lang w:val="sk-SK"/>
              </w:rPr>
            </w:pPr>
            <w:r w:rsidRPr="004E71D5">
              <w:rPr>
                <w:lang w:val="sk-SK"/>
              </w:rPr>
              <w:t>5</w:t>
            </w:r>
          </w:p>
        </w:tc>
        <w:tc>
          <w:tcPr>
            <w:tcW w:w="389" w:type="pct"/>
            <w:vAlign w:val="center"/>
          </w:tcPr>
          <w:p w:rsidR="004825E8" w:rsidRPr="004E71D5" w:rsidRDefault="004825E8" w:rsidP="0016092C">
            <w:pPr>
              <w:pStyle w:val="StylTableNumber"/>
              <w:spacing w:afterAutospacing="0" w:line="360" w:lineRule="auto"/>
              <w:rPr>
                <w:lang w:val="sk-SK"/>
              </w:rPr>
            </w:pPr>
            <w:r w:rsidRPr="004E71D5">
              <w:rPr>
                <w:lang w:val="sk-SK"/>
              </w:rPr>
              <w:t>4</w:t>
            </w:r>
          </w:p>
        </w:tc>
        <w:tc>
          <w:tcPr>
            <w:tcW w:w="389" w:type="pct"/>
            <w:vAlign w:val="center"/>
          </w:tcPr>
          <w:p w:rsidR="004825E8" w:rsidRPr="004E71D5" w:rsidRDefault="004825E8" w:rsidP="0016092C">
            <w:pPr>
              <w:pStyle w:val="StylTableNumber"/>
              <w:spacing w:afterAutospacing="0" w:line="360" w:lineRule="auto"/>
              <w:rPr>
                <w:lang w:val="sk-SK"/>
              </w:rPr>
            </w:pPr>
            <w:r w:rsidRPr="004E71D5">
              <w:rPr>
                <w:lang w:val="sk-SK"/>
              </w:rPr>
              <w:t>5</w:t>
            </w:r>
          </w:p>
        </w:tc>
        <w:tc>
          <w:tcPr>
            <w:tcW w:w="390" w:type="pct"/>
            <w:vAlign w:val="center"/>
          </w:tcPr>
          <w:p w:rsidR="004825E8" w:rsidRPr="004E71D5" w:rsidRDefault="004825E8" w:rsidP="0016092C">
            <w:pPr>
              <w:pStyle w:val="StylTableNumber"/>
              <w:spacing w:afterAutospacing="0" w:line="360" w:lineRule="auto"/>
              <w:rPr>
                <w:lang w:val="sk-SK"/>
              </w:rPr>
            </w:pPr>
            <w:r w:rsidRPr="004E71D5">
              <w:rPr>
                <w:lang w:val="sk-SK"/>
              </w:rPr>
              <w:t>0</w:t>
            </w:r>
          </w:p>
        </w:tc>
        <w:tc>
          <w:tcPr>
            <w:tcW w:w="467" w:type="pct"/>
            <w:vAlign w:val="center"/>
          </w:tcPr>
          <w:p w:rsidR="004825E8" w:rsidRPr="004E71D5" w:rsidRDefault="004825E8" w:rsidP="0016092C">
            <w:pPr>
              <w:pStyle w:val="StylTableNumber"/>
              <w:spacing w:afterAutospacing="0" w:line="360" w:lineRule="auto"/>
              <w:rPr>
                <w:lang w:val="sk-SK"/>
              </w:rPr>
            </w:pPr>
            <w:r w:rsidRPr="004E71D5">
              <w:rPr>
                <w:lang w:val="sk-SK"/>
              </w:rPr>
              <w:t>0</w:t>
            </w:r>
          </w:p>
        </w:tc>
        <w:tc>
          <w:tcPr>
            <w:tcW w:w="468" w:type="pct"/>
          </w:tcPr>
          <w:p w:rsidR="004825E8" w:rsidRPr="004E71D5" w:rsidRDefault="004825E8" w:rsidP="0016092C">
            <w:pPr>
              <w:pStyle w:val="StylTableNumber"/>
              <w:spacing w:afterAutospacing="0" w:line="360" w:lineRule="auto"/>
              <w:rPr>
                <w:lang w:val="sk-SK"/>
              </w:rPr>
            </w:pPr>
            <w:r w:rsidRPr="004E71D5">
              <w:rPr>
                <w:lang w:val="sk-SK"/>
              </w:rPr>
              <w:t>96</w:t>
            </w:r>
          </w:p>
        </w:tc>
        <w:tc>
          <w:tcPr>
            <w:tcW w:w="467" w:type="pct"/>
          </w:tcPr>
          <w:p w:rsidR="004825E8" w:rsidRPr="004E71D5" w:rsidRDefault="004825E8" w:rsidP="0016092C">
            <w:pPr>
              <w:pStyle w:val="StylTableNumber"/>
              <w:spacing w:afterAutospacing="0" w:line="360" w:lineRule="auto"/>
              <w:rPr>
                <w:lang w:val="sk-SK"/>
              </w:rPr>
            </w:pPr>
            <w:r w:rsidRPr="004E71D5">
              <w:rPr>
                <w:lang w:val="sk-SK"/>
              </w:rPr>
              <w:t>176</w:t>
            </w:r>
          </w:p>
        </w:tc>
      </w:tr>
      <w:tr w:rsidR="004E3A2A" w:rsidRPr="004E71D5" w:rsidTr="004E3A2A">
        <w:trPr>
          <w:cantSplit/>
        </w:trPr>
        <w:tc>
          <w:tcPr>
            <w:tcW w:w="883" w:type="pct"/>
            <w:vAlign w:val="center"/>
          </w:tcPr>
          <w:p w:rsidR="004825E8" w:rsidRPr="004E71D5" w:rsidRDefault="004825E8" w:rsidP="0016092C">
            <w:pPr>
              <w:pStyle w:val="StylTableText"/>
              <w:spacing w:afterAutospacing="0" w:line="360" w:lineRule="auto"/>
              <w:rPr>
                <w:lang w:val="sk-SK"/>
              </w:rPr>
            </w:pPr>
            <w:r w:rsidRPr="004E71D5">
              <w:rPr>
                <w:lang w:val="sk-SK"/>
              </w:rPr>
              <w:t>Dejiny umenia</w:t>
            </w:r>
          </w:p>
        </w:tc>
        <w:tc>
          <w:tcPr>
            <w:tcW w:w="373" w:type="pct"/>
            <w:vAlign w:val="center"/>
          </w:tcPr>
          <w:p w:rsidR="004825E8" w:rsidRPr="004E71D5" w:rsidRDefault="004825E8" w:rsidP="0016092C">
            <w:pPr>
              <w:pStyle w:val="StylTableNumber"/>
              <w:spacing w:afterAutospacing="0" w:line="360" w:lineRule="auto"/>
              <w:rPr>
                <w:lang w:val="sk-SK"/>
              </w:rPr>
            </w:pPr>
            <w:r w:rsidRPr="004E71D5">
              <w:rPr>
                <w:lang w:val="sk-SK"/>
              </w:rPr>
              <w:t>2</w:t>
            </w:r>
          </w:p>
        </w:tc>
        <w:tc>
          <w:tcPr>
            <w:tcW w:w="395" w:type="pct"/>
            <w:vAlign w:val="center"/>
          </w:tcPr>
          <w:p w:rsidR="004825E8" w:rsidRPr="004E71D5" w:rsidRDefault="004825E8" w:rsidP="0016092C">
            <w:pPr>
              <w:pStyle w:val="StylTableNumber"/>
              <w:spacing w:afterAutospacing="0" w:line="360" w:lineRule="auto"/>
              <w:rPr>
                <w:lang w:val="sk-SK"/>
              </w:rPr>
            </w:pPr>
            <w:r w:rsidRPr="004E71D5">
              <w:rPr>
                <w:lang w:val="sk-SK"/>
              </w:rPr>
              <w:t>2</w:t>
            </w:r>
          </w:p>
        </w:tc>
        <w:tc>
          <w:tcPr>
            <w:tcW w:w="390" w:type="pct"/>
            <w:vAlign w:val="center"/>
          </w:tcPr>
          <w:p w:rsidR="004825E8" w:rsidRPr="004E71D5" w:rsidRDefault="004825E8" w:rsidP="0016092C">
            <w:pPr>
              <w:pStyle w:val="StylTableNumber"/>
              <w:spacing w:afterAutospacing="0" w:line="360" w:lineRule="auto"/>
              <w:rPr>
                <w:lang w:val="sk-SK"/>
              </w:rPr>
            </w:pPr>
            <w:r w:rsidRPr="004E71D5">
              <w:rPr>
                <w:lang w:val="sk-SK"/>
              </w:rPr>
              <w:t>2</w:t>
            </w:r>
          </w:p>
        </w:tc>
        <w:tc>
          <w:tcPr>
            <w:tcW w:w="390" w:type="pct"/>
            <w:vAlign w:val="center"/>
          </w:tcPr>
          <w:p w:rsidR="004825E8" w:rsidRPr="004E71D5" w:rsidRDefault="004825E8" w:rsidP="0016092C">
            <w:pPr>
              <w:pStyle w:val="StylTableNumber"/>
              <w:spacing w:afterAutospacing="0" w:line="360" w:lineRule="auto"/>
              <w:rPr>
                <w:lang w:val="sk-SK"/>
              </w:rPr>
            </w:pPr>
            <w:r w:rsidRPr="004E71D5">
              <w:rPr>
                <w:lang w:val="sk-SK"/>
              </w:rPr>
              <w:t>2</w:t>
            </w:r>
          </w:p>
        </w:tc>
        <w:tc>
          <w:tcPr>
            <w:tcW w:w="389" w:type="pct"/>
            <w:vAlign w:val="center"/>
          </w:tcPr>
          <w:p w:rsidR="004825E8" w:rsidRPr="004E71D5" w:rsidRDefault="004825E8" w:rsidP="0016092C">
            <w:pPr>
              <w:pStyle w:val="StylTableNumber"/>
              <w:spacing w:afterAutospacing="0" w:line="360" w:lineRule="auto"/>
              <w:rPr>
                <w:lang w:val="sk-SK"/>
              </w:rPr>
            </w:pPr>
            <w:r w:rsidRPr="004E71D5">
              <w:rPr>
                <w:lang w:val="sk-SK"/>
              </w:rPr>
              <w:t>0</w:t>
            </w:r>
          </w:p>
        </w:tc>
        <w:tc>
          <w:tcPr>
            <w:tcW w:w="389" w:type="pct"/>
            <w:vAlign w:val="center"/>
          </w:tcPr>
          <w:p w:rsidR="004825E8" w:rsidRPr="004E71D5" w:rsidRDefault="004825E8" w:rsidP="0016092C">
            <w:pPr>
              <w:pStyle w:val="StylTableNumber"/>
              <w:spacing w:afterAutospacing="0" w:line="360" w:lineRule="auto"/>
              <w:rPr>
                <w:lang w:val="sk-SK"/>
              </w:rPr>
            </w:pPr>
            <w:r w:rsidRPr="004E71D5">
              <w:rPr>
                <w:lang w:val="sk-SK"/>
              </w:rPr>
              <w:t>0</w:t>
            </w:r>
          </w:p>
        </w:tc>
        <w:tc>
          <w:tcPr>
            <w:tcW w:w="390" w:type="pct"/>
            <w:vAlign w:val="center"/>
          </w:tcPr>
          <w:p w:rsidR="004825E8" w:rsidRPr="004E71D5" w:rsidRDefault="004825E8" w:rsidP="0016092C">
            <w:pPr>
              <w:pStyle w:val="StylTableNumber"/>
              <w:spacing w:afterAutospacing="0" w:line="360" w:lineRule="auto"/>
              <w:rPr>
                <w:lang w:val="sk-SK"/>
              </w:rPr>
            </w:pPr>
            <w:r w:rsidRPr="004E71D5">
              <w:rPr>
                <w:lang w:val="sk-SK"/>
              </w:rPr>
              <w:t>0</w:t>
            </w:r>
          </w:p>
        </w:tc>
        <w:tc>
          <w:tcPr>
            <w:tcW w:w="467" w:type="pct"/>
            <w:vAlign w:val="center"/>
          </w:tcPr>
          <w:p w:rsidR="004825E8" w:rsidRPr="004E71D5" w:rsidRDefault="004825E8" w:rsidP="0016092C">
            <w:pPr>
              <w:pStyle w:val="StylTableNumber"/>
              <w:spacing w:afterAutospacing="0" w:line="360" w:lineRule="auto"/>
              <w:rPr>
                <w:lang w:val="sk-SK"/>
              </w:rPr>
            </w:pPr>
            <w:r w:rsidRPr="004E71D5">
              <w:rPr>
                <w:lang w:val="sk-SK"/>
              </w:rPr>
              <w:t>0</w:t>
            </w:r>
          </w:p>
        </w:tc>
        <w:tc>
          <w:tcPr>
            <w:tcW w:w="468" w:type="pct"/>
          </w:tcPr>
          <w:p w:rsidR="004825E8" w:rsidRPr="004E71D5" w:rsidRDefault="004825E8" w:rsidP="0016092C">
            <w:pPr>
              <w:pStyle w:val="StylTableNumber"/>
              <w:spacing w:afterAutospacing="0" w:line="360" w:lineRule="auto"/>
              <w:rPr>
                <w:lang w:val="sk-SK"/>
              </w:rPr>
            </w:pPr>
            <w:r w:rsidRPr="004E71D5">
              <w:rPr>
                <w:lang w:val="sk-SK"/>
              </w:rPr>
              <w:t>0</w:t>
            </w:r>
          </w:p>
        </w:tc>
        <w:tc>
          <w:tcPr>
            <w:tcW w:w="467" w:type="pct"/>
          </w:tcPr>
          <w:p w:rsidR="004825E8" w:rsidRPr="004E71D5" w:rsidRDefault="004825E8" w:rsidP="0016092C">
            <w:pPr>
              <w:pStyle w:val="StylTableNumber"/>
              <w:spacing w:afterAutospacing="0" w:line="360" w:lineRule="auto"/>
              <w:rPr>
                <w:lang w:val="sk-SK"/>
              </w:rPr>
            </w:pPr>
            <w:r w:rsidRPr="004E71D5">
              <w:rPr>
                <w:lang w:val="sk-SK"/>
              </w:rPr>
              <w:t>0</w:t>
            </w:r>
          </w:p>
        </w:tc>
      </w:tr>
      <w:tr w:rsidR="004E3A2A" w:rsidRPr="004E71D5" w:rsidTr="004E3A2A">
        <w:trPr>
          <w:cantSplit/>
        </w:trPr>
        <w:tc>
          <w:tcPr>
            <w:tcW w:w="883" w:type="pct"/>
            <w:tcBorders>
              <w:bottom w:val="single" w:sz="4" w:space="0" w:color="auto"/>
            </w:tcBorders>
            <w:shd w:val="clear" w:color="auto" w:fill="D9D9D9"/>
            <w:vAlign w:val="center"/>
          </w:tcPr>
          <w:p w:rsidR="004825E8" w:rsidRPr="004E71D5" w:rsidRDefault="004825E8" w:rsidP="0016092C">
            <w:pPr>
              <w:pStyle w:val="StylTableSumText"/>
              <w:spacing w:afterAutospacing="0" w:line="360" w:lineRule="auto"/>
              <w:rPr>
                <w:lang w:val="sk-SK"/>
              </w:rPr>
            </w:pPr>
            <w:r w:rsidRPr="004E71D5">
              <w:rPr>
                <w:lang w:val="sk-SK"/>
              </w:rPr>
              <w:t>Spoločenské vedy spolu</w:t>
            </w:r>
          </w:p>
        </w:tc>
        <w:tc>
          <w:tcPr>
            <w:tcW w:w="373" w:type="pct"/>
            <w:tcBorders>
              <w:bottom w:val="single" w:sz="4" w:space="0" w:color="auto"/>
            </w:tcBorders>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296</w:t>
            </w:r>
          </w:p>
        </w:tc>
        <w:tc>
          <w:tcPr>
            <w:tcW w:w="395" w:type="pct"/>
            <w:tcBorders>
              <w:bottom w:val="single" w:sz="4" w:space="0" w:color="auto"/>
            </w:tcBorders>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446</w:t>
            </w:r>
          </w:p>
        </w:tc>
        <w:tc>
          <w:tcPr>
            <w:tcW w:w="390" w:type="pct"/>
            <w:tcBorders>
              <w:bottom w:val="single" w:sz="4" w:space="0" w:color="auto"/>
            </w:tcBorders>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21</w:t>
            </w:r>
          </w:p>
        </w:tc>
        <w:tc>
          <w:tcPr>
            <w:tcW w:w="390" w:type="pct"/>
            <w:tcBorders>
              <w:bottom w:val="single" w:sz="4" w:space="0" w:color="auto"/>
            </w:tcBorders>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24</w:t>
            </w:r>
          </w:p>
        </w:tc>
        <w:tc>
          <w:tcPr>
            <w:tcW w:w="389" w:type="pct"/>
            <w:tcBorders>
              <w:bottom w:val="single" w:sz="4" w:space="0" w:color="auto"/>
            </w:tcBorders>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37</w:t>
            </w:r>
          </w:p>
        </w:tc>
        <w:tc>
          <w:tcPr>
            <w:tcW w:w="389" w:type="pct"/>
            <w:tcBorders>
              <w:bottom w:val="single" w:sz="4" w:space="0" w:color="auto"/>
            </w:tcBorders>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66</w:t>
            </w:r>
          </w:p>
        </w:tc>
        <w:tc>
          <w:tcPr>
            <w:tcW w:w="390" w:type="pct"/>
            <w:tcBorders>
              <w:bottom w:val="single" w:sz="4" w:space="0" w:color="auto"/>
            </w:tcBorders>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0</w:t>
            </w:r>
          </w:p>
        </w:tc>
        <w:tc>
          <w:tcPr>
            <w:tcW w:w="467" w:type="pct"/>
            <w:tcBorders>
              <w:bottom w:val="single" w:sz="4" w:space="0" w:color="auto"/>
            </w:tcBorders>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0</w:t>
            </w:r>
          </w:p>
        </w:tc>
        <w:tc>
          <w:tcPr>
            <w:tcW w:w="468" w:type="pct"/>
            <w:tcBorders>
              <w:bottom w:val="single" w:sz="4" w:space="0" w:color="auto"/>
            </w:tcBorders>
            <w:shd w:val="clear" w:color="auto" w:fill="D9D9D9"/>
          </w:tcPr>
          <w:p w:rsidR="004825E8" w:rsidRPr="004E71D5" w:rsidRDefault="004825E8" w:rsidP="0016092C">
            <w:pPr>
              <w:pStyle w:val="StylTableSumNumber"/>
              <w:spacing w:afterAutospacing="0" w:line="360" w:lineRule="auto"/>
              <w:rPr>
                <w:lang w:val="sk-SK"/>
              </w:rPr>
            </w:pPr>
            <w:r w:rsidRPr="004E71D5">
              <w:rPr>
                <w:lang w:val="sk-SK"/>
              </w:rPr>
              <w:t>238</w:t>
            </w:r>
          </w:p>
        </w:tc>
        <w:tc>
          <w:tcPr>
            <w:tcW w:w="467" w:type="pct"/>
            <w:tcBorders>
              <w:bottom w:val="single" w:sz="4" w:space="0" w:color="auto"/>
            </w:tcBorders>
            <w:shd w:val="clear" w:color="auto" w:fill="D9D9D9"/>
          </w:tcPr>
          <w:p w:rsidR="004825E8" w:rsidRPr="004E71D5" w:rsidRDefault="004825E8" w:rsidP="0016092C">
            <w:pPr>
              <w:pStyle w:val="StylTableSumNumber"/>
              <w:spacing w:afterAutospacing="0" w:line="360" w:lineRule="auto"/>
              <w:rPr>
                <w:lang w:val="sk-SK"/>
              </w:rPr>
            </w:pPr>
            <w:r w:rsidRPr="004E71D5">
              <w:rPr>
                <w:lang w:val="sk-SK"/>
              </w:rPr>
              <w:t>356</w:t>
            </w:r>
          </w:p>
        </w:tc>
      </w:tr>
      <w:tr w:rsidR="004E3A2A" w:rsidRPr="004E71D5" w:rsidTr="004E3A2A">
        <w:trPr>
          <w:cantSplit/>
        </w:trPr>
        <w:tc>
          <w:tcPr>
            <w:tcW w:w="883" w:type="pct"/>
            <w:shd w:val="clear" w:color="auto" w:fill="FFFFFF" w:themeFill="background1"/>
            <w:vAlign w:val="center"/>
          </w:tcPr>
          <w:p w:rsidR="004825E8" w:rsidRPr="004E71D5" w:rsidRDefault="004825E8" w:rsidP="0016092C">
            <w:pPr>
              <w:pStyle w:val="StylTableSumText"/>
              <w:spacing w:afterAutospacing="0" w:line="360" w:lineRule="auto"/>
              <w:rPr>
                <w:lang w:val="sk-SK"/>
              </w:rPr>
            </w:pPr>
            <w:r w:rsidRPr="004E71D5">
              <w:rPr>
                <w:lang w:val="sk-SK"/>
              </w:rPr>
              <w:t>Zoológia</w:t>
            </w:r>
          </w:p>
        </w:tc>
        <w:tc>
          <w:tcPr>
            <w:tcW w:w="373" w:type="pct"/>
            <w:shd w:val="clear" w:color="auto" w:fill="FFFFFF" w:themeFill="background1"/>
            <w:vAlign w:val="center"/>
          </w:tcPr>
          <w:p w:rsidR="004825E8" w:rsidRPr="004E71D5" w:rsidRDefault="004825E8" w:rsidP="0016092C">
            <w:pPr>
              <w:pStyle w:val="StylTableSumNumber"/>
              <w:spacing w:afterAutospacing="0" w:line="360" w:lineRule="auto"/>
              <w:rPr>
                <w:lang w:val="sk-SK"/>
              </w:rPr>
            </w:pPr>
            <w:r w:rsidRPr="004E71D5">
              <w:rPr>
                <w:lang w:val="sk-SK"/>
              </w:rPr>
              <w:t>2</w:t>
            </w:r>
          </w:p>
        </w:tc>
        <w:tc>
          <w:tcPr>
            <w:tcW w:w="395" w:type="pct"/>
            <w:shd w:val="clear" w:color="auto" w:fill="FFFFFF" w:themeFill="background1"/>
            <w:vAlign w:val="center"/>
          </w:tcPr>
          <w:p w:rsidR="004825E8" w:rsidRPr="004E71D5" w:rsidRDefault="004825E8" w:rsidP="0016092C">
            <w:pPr>
              <w:pStyle w:val="StylTableSumNumber"/>
              <w:spacing w:afterAutospacing="0" w:line="360" w:lineRule="auto"/>
              <w:rPr>
                <w:lang w:val="sk-SK"/>
              </w:rPr>
            </w:pPr>
            <w:r w:rsidRPr="004E71D5">
              <w:rPr>
                <w:lang w:val="sk-SK"/>
              </w:rPr>
              <w:t>2</w:t>
            </w:r>
          </w:p>
        </w:tc>
        <w:tc>
          <w:tcPr>
            <w:tcW w:w="390" w:type="pct"/>
            <w:shd w:val="clear" w:color="auto" w:fill="FFFFFF" w:themeFill="background1"/>
            <w:vAlign w:val="center"/>
          </w:tcPr>
          <w:p w:rsidR="004825E8" w:rsidRPr="004E71D5" w:rsidRDefault="004825E8" w:rsidP="0016092C">
            <w:pPr>
              <w:pStyle w:val="StylTableSumNumber"/>
              <w:spacing w:afterAutospacing="0" w:line="360" w:lineRule="auto"/>
              <w:rPr>
                <w:lang w:val="sk-SK"/>
              </w:rPr>
            </w:pPr>
            <w:r w:rsidRPr="004E71D5">
              <w:rPr>
                <w:lang w:val="sk-SK"/>
              </w:rPr>
              <w:t>0</w:t>
            </w:r>
          </w:p>
        </w:tc>
        <w:tc>
          <w:tcPr>
            <w:tcW w:w="390" w:type="pct"/>
            <w:shd w:val="clear" w:color="auto" w:fill="FFFFFF" w:themeFill="background1"/>
            <w:vAlign w:val="center"/>
          </w:tcPr>
          <w:p w:rsidR="004825E8" w:rsidRPr="004E71D5" w:rsidRDefault="004825E8" w:rsidP="0016092C">
            <w:pPr>
              <w:pStyle w:val="StylTableSumNumber"/>
              <w:spacing w:afterAutospacing="0" w:line="360" w:lineRule="auto"/>
              <w:rPr>
                <w:lang w:val="sk-SK"/>
              </w:rPr>
            </w:pPr>
            <w:r w:rsidRPr="004E71D5">
              <w:rPr>
                <w:lang w:val="sk-SK"/>
              </w:rPr>
              <w:t>0</w:t>
            </w:r>
          </w:p>
        </w:tc>
        <w:tc>
          <w:tcPr>
            <w:tcW w:w="389" w:type="pct"/>
            <w:shd w:val="clear" w:color="auto" w:fill="FFFFFF" w:themeFill="background1"/>
            <w:vAlign w:val="center"/>
          </w:tcPr>
          <w:p w:rsidR="004825E8" w:rsidRPr="004E71D5" w:rsidRDefault="004825E8" w:rsidP="0016092C">
            <w:pPr>
              <w:pStyle w:val="StylTableSumNumber"/>
              <w:spacing w:afterAutospacing="0" w:line="360" w:lineRule="auto"/>
              <w:rPr>
                <w:lang w:val="sk-SK"/>
              </w:rPr>
            </w:pPr>
            <w:r w:rsidRPr="004E71D5">
              <w:rPr>
                <w:lang w:val="sk-SK"/>
              </w:rPr>
              <w:t>0</w:t>
            </w:r>
          </w:p>
        </w:tc>
        <w:tc>
          <w:tcPr>
            <w:tcW w:w="389" w:type="pct"/>
            <w:shd w:val="clear" w:color="auto" w:fill="FFFFFF" w:themeFill="background1"/>
            <w:vAlign w:val="center"/>
          </w:tcPr>
          <w:p w:rsidR="004825E8" w:rsidRPr="004E71D5" w:rsidRDefault="004825E8" w:rsidP="0016092C">
            <w:pPr>
              <w:pStyle w:val="StylTableSumNumber"/>
              <w:spacing w:afterAutospacing="0" w:line="360" w:lineRule="auto"/>
              <w:rPr>
                <w:lang w:val="sk-SK"/>
              </w:rPr>
            </w:pPr>
            <w:r w:rsidRPr="004E71D5">
              <w:rPr>
                <w:lang w:val="sk-SK"/>
              </w:rPr>
              <w:t>0</w:t>
            </w:r>
          </w:p>
        </w:tc>
        <w:tc>
          <w:tcPr>
            <w:tcW w:w="390" w:type="pct"/>
            <w:shd w:val="clear" w:color="auto" w:fill="FFFFFF" w:themeFill="background1"/>
            <w:vAlign w:val="center"/>
          </w:tcPr>
          <w:p w:rsidR="004825E8" w:rsidRPr="004E71D5" w:rsidRDefault="004825E8" w:rsidP="0016092C">
            <w:pPr>
              <w:pStyle w:val="StylTableSumNumber"/>
              <w:spacing w:afterAutospacing="0" w:line="360" w:lineRule="auto"/>
              <w:rPr>
                <w:lang w:val="sk-SK"/>
              </w:rPr>
            </w:pPr>
            <w:r w:rsidRPr="004E71D5">
              <w:rPr>
                <w:lang w:val="sk-SK"/>
              </w:rPr>
              <w:t>0</w:t>
            </w:r>
          </w:p>
        </w:tc>
        <w:tc>
          <w:tcPr>
            <w:tcW w:w="467" w:type="pct"/>
            <w:shd w:val="clear" w:color="auto" w:fill="FFFFFF" w:themeFill="background1"/>
            <w:vAlign w:val="center"/>
          </w:tcPr>
          <w:p w:rsidR="004825E8" w:rsidRPr="004E71D5" w:rsidRDefault="004825E8" w:rsidP="0016092C">
            <w:pPr>
              <w:pStyle w:val="StylTableSumNumber"/>
              <w:spacing w:afterAutospacing="0" w:line="360" w:lineRule="auto"/>
              <w:rPr>
                <w:lang w:val="sk-SK"/>
              </w:rPr>
            </w:pPr>
            <w:r w:rsidRPr="004E71D5">
              <w:rPr>
                <w:lang w:val="sk-SK"/>
              </w:rPr>
              <w:t>0</w:t>
            </w:r>
          </w:p>
        </w:tc>
        <w:tc>
          <w:tcPr>
            <w:tcW w:w="468" w:type="pct"/>
            <w:shd w:val="clear" w:color="auto" w:fill="FFFFFF" w:themeFill="background1"/>
          </w:tcPr>
          <w:p w:rsidR="004825E8" w:rsidRPr="004E71D5" w:rsidRDefault="004825E8" w:rsidP="0016092C">
            <w:pPr>
              <w:pStyle w:val="StylTableSumNumber"/>
              <w:spacing w:afterAutospacing="0" w:line="360" w:lineRule="auto"/>
              <w:rPr>
                <w:lang w:val="sk-SK"/>
              </w:rPr>
            </w:pPr>
            <w:r w:rsidRPr="004E71D5">
              <w:rPr>
                <w:lang w:val="sk-SK"/>
              </w:rPr>
              <w:t>2</w:t>
            </w:r>
          </w:p>
        </w:tc>
        <w:tc>
          <w:tcPr>
            <w:tcW w:w="467" w:type="pct"/>
            <w:shd w:val="clear" w:color="auto" w:fill="FFFFFF" w:themeFill="background1"/>
          </w:tcPr>
          <w:p w:rsidR="004825E8" w:rsidRPr="004E71D5" w:rsidRDefault="004825E8" w:rsidP="0016092C">
            <w:pPr>
              <w:pStyle w:val="StylTableSumNumber"/>
              <w:spacing w:afterAutospacing="0" w:line="360" w:lineRule="auto"/>
              <w:rPr>
                <w:lang w:val="sk-SK"/>
              </w:rPr>
            </w:pPr>
            <w:r w:rsidRPr="004E71D5">
              <w:rPr>
                <w:lang w:val="sk-SK"/>
              </w:rPr>
              <w:t>2</w:t>
            </w:r>
          </w:p>
        </w:tc>
      </w:tr>
      <w:tr w:rsidR="004E3A2A" w:rsidRPr="004E71D5" w:rsidTr="004E3A2A">
        <w:trPr>
          <w:cantSplit/>
        </w:trPr>
        <w:tc>
          <w:tcPr>
            <w:tcW w:w="883" w:type="pct"/>
            <w:shd w:val="clear" w:color="auto" w:fill="D9D9D9"/>
            <w:vAlign w:val="center"/>
          </w:tcPr>
          <w:p w:rsidR="004825E8" w:rsidRPr="004E71D5" w:rsidRDefault="004825E8" w:rsidP="0016092C">
            <w:pPr>
              <w:pStyle w:val="StylTableSumText"/>
              <w:spacing w:afterAutospacing="0" w:line="360" w:lineRule="auto"/>
              <w:rPr>
                <w:lang w:val="sk-SK"/>
              </w:rPr>
            </w:pPr>
            <w:r w:rsidRPr="004E71D5">
              <w:rPr>
                <w:lang w:val="sk-SK"/>
              </w:rPr>
              <w:t>Prírodné vedy spolu</w:t>
            </w:r>
          </w:p>
        </w:tc>
        <w:tc>
          <w:tcPr>
            <w:tcW w:w="373" w:type="pct"/>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2</w:t>
            </w:r>
          </w:p>
        </w:tc>
        <w:tc>
          <w:tcPr>
            <w:tcW w:w="395" w:type="pct"/>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2</w:t>
            </w:r>
          </w:p>
        </w:tc>
        <w:tc>
          <w:tcPr>
            <w:tcW w:w="390" w:type="pct"/>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0</w:t>
            </w:r>
          </w:p>
        </w:tc>
        <w:tc>
          <w:tcPr>
            <w:tcW w:w="390" w:type="pct"/>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0</w:t>
            </w:r>
          </w:p>
        </w:tc>
        <w:tc>
          <w:tcPr>
            <w:tcW w:w="389" w:type="pct"/>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0</w:t>
            </w:r>
          </w:p>
        </w:tc>
        <w:tc>
          <w:tcPr>
            <w:tcW w:w="389" w:type="pct"/>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0</w:t>
            </w:r>
          </w:p>
        </w:tc>
        <w:tc>
          <w:tcPr>
            <w:tcW w:w="390" w:type="pct"/>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0</w:t>
            </w:r>
          </w:p>
        </w:tc>
        <w:tc>
          <w:tcPr>
            <w:tcW w:w="467" w:type="pct"/>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0</w:t>
            </w:r>
          </w:p>
        </w:tc>
        <w:tc>
          <w:tcPr>
            <w:tcW w:w="468" w:type="pct"/>
            <w:shd w:val="clear" w:color="auto" w:fill="D9D9D9"/>
          </w:tcPr>
          <w:p w:rsidR="004825E8" w:rsidRPr="004E71D5" w:rsidRDefault="004825E8" w:rsidP="0016092C">
            <w:pPr>
              <w:pStyle w:val="StylTableSumNumber"/>
              <w:spacing w:afterAutospacing="0" w:line="360" w:lineRule="auto"/>
              <w:rPr>
                <w:lang w:val="sk-SK"/>
              </w:rPr>
            </w:pPr>
            <w:r w:rsidRPr="004E71D5">
              <w:rPr>
                <w:lang w:val="sk-SK"/>
              </w:rPr>
              <w:t>2</w:t>
            </w:r>
          </w:p>
        </w:tc>
        <w:tc>
          <w:tcPr>
            <w:tcW w:w="467" w:type="pct"/>
            <w:shd w:val="clear" w:color="auto" w:fill="D9D9D9"/>
          </w:tcPr>
          <w:p w:rsidR="004825E8" w:rsidRPr="004E71D5" w:rsidRDefault="004825E8" w:rsidP="0016092C">
            <w:pPr>
              <w:pStyle w:val="StylTableSumNumber"/>
              <w:spacing w:afterAutospacing="0" w:line="360" w:lineRule="auto"/>
              <w:rPr>
                <w:lang w:val="sk-SK"/>
              </w:rPr>
            </w:pPr>
            <w:r w:rsidRPr="004E71D5">
              <w:rPr>
                <w:lang w:val="sk-SK"/>
              </w:rPr>
              <w:t>2</w:t>
            </w:r>
          </w:p>
        </w:tc>
      </w:tr>
      <w:tr w:rsidR="004E3A2A" w:rsidRPr="004E71D5" w:rsidTr="004E3A2A">
        <w:trPr>
          <w:cantSplit/>
        </w:trPr>
        <w:tc>
          <w:tcPr>
            <w:tcW w:w="883" w:type="pct"/>
            <w:shd w:val="clear" w:color="auto" w:fill="D9D9D9"/>
            <w:vAlign w:val="center"/>
          </w:tcPr>
          <w:p w:rsidR="004825E8" w:rsidRPr="004E71D5" w:rsidRDefault="004825E8" w:rsidP="0016092C">
            <w:pPr>
              <w:pStyle w:val="StylTableSumText"/>
              <w:spacing w:afterAutospacing="0" w:line="360" w:lineRule="auto"/>
              <w:rPr>
                <w:lang w:val="sk-SK"/>
              </w:rPr>
            </w:pPr>
            <w:r w:rsidRPr="004E71D5">
              <w:rPr>
                <w:lang w:val="sk-SK"/>
              </w:rPr>
              <w:t>PRÍRASTKY SPOLU:</w:t>
            </w:r>
          </w:p>
        </w:tc>
        <w:tc>
          <w:tcPr>
            <w:tcW w:w="373" w:type="pct"/>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298</w:t>
            </w:r>
          </w:p>
        </w:tc>
        <w:tc>
          <w:tcPr>
            <w:tcW w:w="395" w:type="pct"/>
            <w:shd w:val="clear" w:color="auto" w:fill="D9D9D9"/>
            <w:vAlign w:val="center"/>
          </w:tcPr>
          <w:p w:rsidR="004825E8" w:rsidRPr="004E71D5" w:rsidRDefault="004825E8" w:rsidP="004825E8">
            <w:pPr>
              <w:pStyle w:val="StylTableSumNumber"/>
              <w:spacing w:afterAutospacing="0" w:line="360" w:lineRule="auto"/>
              <w:rPr>
                <w:lang w:val="sk-SK"/>
              </w:rPr>
            </w:pPr>
            <w:r w:rsidRPr="004E71D5">
              <w:rPr>
                <w:lang w:val="sk-SK"/>
              </w:rPr>
              <w:t xml:space="preserve">      448</w:t>
            </w:r>
          </w:p>
        </w:tc>
        <w:tc>
          <w:tcPr>
            <w:tcW w:w="390" w:type="pct"/>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21</w:t>
            </w:r>
          </w:p>
        </w:tc>
        <w:tc>
          <w:tcPr>
            <w:tcW w:w="390" w:type="pct"/>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24</w:t>
            </w:r>
          </w:p>
        </w:tc>
        <w:tc>
          <w:tcPr>
            <w:tcW w:w="389" w:type="pct"/>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37</w:t>
            </w:r>
          </w:p>
        </w:tc>
        <w:tc>
          <w:tcPr>
            <w:tcW w:w="389" w:type="pct"/>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66</w:t>
            </w:r>
          </w:p>
        </w:tc>
        <w:tc>
          <w:tcPr>
            <w:tcW w:w="390" w:type="pct"/>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0</w:t>
            </w:r>
          </w:p>
        </w:tc>
        <w:tc>
          <w:tcPr>
            <w:tcW w:w="467" w:type="pct"/>
            <w:shd w:val="clear" w:color="auto" w:fill="D9D9D9"/>
            <w:vAlign w:val="center"/>
          </w:tcPr>
          <w:p w:rsidR="004825E8" w:rsidRPr="004E71D5" w:rsidRDefault="004825E8" w:rsidP="0016092C">
            <w:pPr>
              <w:pStyle w:val="StylTableSumNumber"/>
              <w:spacing w:afterAutospacing="0" w:line="360" w:lineRule="auto"/>
              <w:rPr>
                <w:lang w:val="sk-SK"/>
              </w:rPr>
            </w:pPr>
            <w:r w:rsidRPr="004E71D5">
              <w:rPr>
                <w:lang w:val="sk-SK"/>
              </w:rPr>
              <w:t>0</w:t>
            </w:r>
          </w:p>
        </w:tc>
        <w:tc>
          <w:tcPr>
            <w:tcW w:w="468" w:type="pct"/>
            <w:shd w:val="clear" w:color="auto" w:fill="D9D9D9"/>
          </w:tcPr>
          <w:p w:rsidR="004825E8" w:rsidRPr="004E71D5" w:rsidRDefault="004825E8" w:rsidP="0016092C">
            <w:pPr>
              <w:pStyle w:val="StylTableSumNumber"/>
              <w:spacing w:afterAutospacing="0" w:line="360" w:lineRule="auto"/>
              <w:rPr>
                <w:lang w:val="sk-SK"/>
              </w:rPr>
            </w:pPr>
            <w:r w:rsidRPr="004E71D5">
              <w:rPr>
                <w:lang w:val="sk-SK"/>
              </w:rPr>
              <w:t>240</w:t>
            </w:r>
          </w:p>
        </w:tc>
        <w:tc>
          <w:tcPr>
            <w:tcW w:w="467" w:type="pct"/>
            <w:shd w:val="clear" w:color="auto" w:fill="D9D9D9"/>
          </w:tcPr>
          <w:p w:rsidR="004825E8" w:rsidRPr="004E71D5" w:rsidRDefault="004825E8" w:rsidP="0016092C">
            <w:pPr>
              <w:pStyle w:val="StylTableSumNumber"/>
              <w:spacing w:afterAutospacing="0" w:line="360" w:lineRule="auto"/>
              <w:rPr>
                <w:lang w:val="sk-SK"/>
              </w:rPr>
            </w:pPr>
            <w:r w:rsidRPr="004E71D5">
              <w:rPr>
                <w:lang w:val="sk-SK"/>
              </w:rPr>
              <w:t>358</w:t>
            </w:r>
          </w:p>
        </w:tc>
      </w:tr>
    </w:tbl>
    <w:p w:rsidR="00125952" w:rsidRPr="004E71D5" w:rsidRDefault="00125952" w:rsidP="00FF5868">
      <w:pPr>
        <w:spacing w:line="360" w:lineRule="auto"/>
        <w:ind w:firstLine="708"/>
        <w:jc w:val="both"/>
      </w:pPr>
    </w:p>
    <w:p w:rsidR="006A5382" w:rsidRPr="004E71D5" w:rsidRDefault="00125952" w:rsidP="00FF5868">
      <w:pPr>
        <w:spacing w:line="360" w:lineRule="auto"/>
        <w:ind w:firstLine="708"/>
        <w:jc w:val="both"/>
      </w:pPr>
      <w:r w:rsidRPr="004E71D5">
        <w:t>Do zbierok HMF boli v roku 2014</w:t>
      </w:r>
      <w:r w:rsidR="00FF5868" w:rsidRPr="004E71D5">
        <w:t xml:space="preserve"> </w:t>
      </w:r>
      <w:r w:rsidR="006A5382" w:rsidRPr="004E71D5">
        <w:t>získané:</w:t>
      </w:r>
    </w:p>
    <w:p w:rsidR="006A5382" w:rsidRPr="004E71D5" w:rsidRDefault="006A5382" w:rsidP="006A5382">
      <w:pPr>
        <w:spacing w:line="360" w:lineRule="auto"/>
        <w:jc w:val="both"/>
        <w:rPr>
          <w:color w:val="000000"/>
        </w:rPr>
      </w:pPr>
      <w:r w:rsidRPr="004E71D5">
        <w:rPr>
          <w:b/>
        </w:rPr>
        <w:t>Darom:</w:t>
      </w:r>
      <w:r w:rsidRPr="004E71D5">
        <w:t xml:space="preserve"> okrem iných, prelamovaný pastiersky vešiak – palócka prelamovaná drevorezba z prelomu 19. a 20. stor.; </w:t>
      </w:r>
      <w:r w:rsidRPr="004E71D5">
        <w:rPr>
          <w:color w:val="000000"/>
        </w:rPr>
        <w:t>morálne osvedčenie 18 ročného Pála Tótha, vydané 4. júla roku 1904 vo Fiľakove; prachovnica z kaštieľa Koháryovcov; obuvnícke náradia z pozostalosti fiľakovských obuvníckych rodín; dóza na hostie z rímskokatolíckeho kostola vo Fiľakovských Biskupiciach; Bursa – kapsa na zložený korporál z fiľakovského rímskokatolíckeho kostola; miniatúra maľovaná na kosti nosaná ako medailón, atď.</w:t>
      </w:r>
    </w:p>
    <w:p w:rsidR="006A5382" w:rsidRPr="004E71D5" w:rsidRDefault="003A1C97" w:rsidP="006A5382">
      <w:pPr>
        <w:spacing w:line="360" w:lineRule="auto"/>
        <w:jc w:val="both"/>
        <w:rPr>
          <w:color w:val="000000"/>
        </w:rPr>
      </w:pPr>
      <w:r w:rsidRPr="004E71D5">
        <w:rPr>
          <w:b/>
          <w:color w:val="000000"/>
        </w:rPr>
        <w:t>Kúpou:</w:t>
      </w:r>
      <w:r w:rsidRPr="004E71D5">
        <w:rPr>
          <w:color w:val="000000"/>
        </w:rPr>
        <w:t xml:space="preserve"> okrem iných, zasklený biely kredenc z medzivojnového obdobia; drevený stôl s vyrezávanými nohami a drevené stoličky zdobené intarziou; liatinová kachla z fiľakovskej továrne (1912-1927); </w:t>
      </w:r>
      <w:r w:rsidR="0039145E" w:rsidRPr="004E71D5">
        <w:rPr>
          <w:color w:val="000000"/>
        </w:rPr>
        <w:t>č</w:t>
      </w:r>
      <w:r w:rsidR="0039145E" w:rsidRPr="004E71D5">
        <w:t xml:space="preserve">adičové opracované predmety z oblasti Medvešského pohoria z 1. pol. 20. stor.; </w:t>
      </w:r>
      <w:r w:rsidRPr="004E71D5">
        <w:rPr>
          <w:color w:val="000000"/>
        </w:rPr>
        <w:t>akvarel Ľudovíta Cseha s tematikou Fiľakovského hradu; pečatidlo obce Konrádovce z roku 1905, atď.</w:t>
      </w:r>
    </w:p>
    <w:p w:rsidR="003A1C97" w:rsidRPr="00F75491" w:rsidRDefault="003A1C97" w:rsidP="006A5382">
      <w:pPr>
        <w:spacing w:line="360" w:lineRule="auto"/>
        <w:jc w:val="both"/>
        <w:rPr>
          <w:color w:val="000000"/>
        </w:rPr>
      </w:pPr>
      <w:r w:rsidRPr="00F75491">
        <w:rPr>
          <w:b/>
          <w:color w:val="000000"/>
        </w:rPr>
        <w:t xml:space="preserve">Prevodom: </w:t>
      </w:r>
      <w:r w:rsidR="00F75491" w:rsidRPr="00F75491">
        <w:rPr>
          <w:color w:val="000000"/>
        </w:rPr>
        <w:t xml:space="preserve">prevodom sa do zbierkového fondu </w:t>
      </w:r>
      <w:r w:rsidR="009A233D">
        <w:rPr>
          <w:color w:val="000000"/>
        </w:rPr>
        <w:t>HMF</w:t>
      </w:r>
      <w:r w:rsidR="00F75491" w:rsidRPr="00F75491">
        <w:rPr>
          <w:color w:val="000000"/>
        </w:rPr>
        <w:t xml:space="preserve"> dostalo niekoľko veľmi hodnotných predmetov zo starých zbierok </w:t>
      </w:r>
      <w:r w:rsidR="00F75491">
        <w:rPr>
          <w:color w:val="000000"/>
        </w:rPr>
        <w:t>Mestského múzea, ktoré sa stali</w:t>
      </w:r>
      <w:r w:rsidR="009A233D">
        <w:rPr>
          <w:color w:val="000000"/>
        </w:rPr>
        <w:t xml:space="preserve"> </w:t>
      </w:r>
      <w:r w:rsidR="00F75491">
        <w:rPr>
          <w:color w:val="000000"/>
        </w:rPr>
        <w:t>súčasťou novootvorenej stálej expozície</w:t>
      </w:r>
      <w:r w:rsidR="009A233D">
        <w:rPr>
          <w:color w:val="000000"/>
        </w:rPr>
        <w:t xml:space="preserve"> Mestského vlastivedného múzea. Podrobný zoznam týchto predmetov sa nachádza v Zázname zo zasadnutia pre tvorbu zbierok č. 1/2014.</w:t>
      </w:r>
    </w:p>
    <w:p w:rsidR="00FF5868" w:rsidRPr="004E71D5" w:rsidRDefault="009A233D" w:rsidP="006A5382">
      <w:pPr>
        <w:spacing w:line="360" w:lineRule="auto"/>
        <w:jc w:val="both"/>
      </w:pPr>
      <w:r>
        <w:tab/>
      </w:r>
      <w:r w:rsidR="003A1C97" w:rsidRPr="004E71D5">
        <w:t xml:space="preserve">Odborne skatalogizovaných bolo </w:t>
      </w:r>
      <w:r w:rsidR="0039145E" w:rsidRPr="004E71D5">
        <w:t xml:space="preserve">v roku 2014 </w:t>
      </w:r>
      <w:r w:rsidR="003A1C97" w:rsidRPr="004E71D5">
        <w:t>5309 zbierkových predmetov</w:t>
      </w:r>
      <w:r w:rsidR="0039145E" w:rsidRPr="004E71D5">
        <w:t xml:space="preserve"> </w:t>
      </w:r>
      <w:r>
        <w:t xml:space="preserve">(prevažne paleontologických nálezov a minerálov) </w:t>
      </w:r>
      <w:r w:rsidR="0039145E" w:rsidRPr="004E71D5">
        <w:t>a</w:t>
      </w:r>
      <w:r w:rsidR="003A1C97" w:rsidRPr="004E71D5">
        <w:t xml:space="preserve"> </w:t>
      </w:r>
      <w:r w:rsidR="00FF5868" w:rsidRPr="004E71D5">
        <w:t xml:space="preserve">v dokumentačnom systéme ESEZ </w:t>
      </w:r>
      <w:r w:rsidR="003A1C97" w:rsidRPr="004E71D5">
        <w:t xml:space="preserve">blo v prvostupňovej evidencii spracovaných </w:t>
      </w:r>
      <w:r w:rsidR="0039145E" w:rsidRPr="004E71D5">
        <w:t>448 ks zbierkových predmetov</w:t>
      </w:r>
      <w:r w:rsidR="008E2F0E" w:rsidRPr="004E71D5">
        <w:t>.</w:t>
      </w:r>
      <w:r w:rsidR="00FF5868" w:rsidRPr="004E71D5">
        <w:t xml:space="preserve"> Kým v roku </w:t>
      </w:r>
      <w:r w:rsidR="0039145E" w:rsidRPr="004E71D5">
        <w:t xml:space="preserve">2013 </w:t>
      </w:r>
      <w:r w:rsidR="00FF5868" w:rsidRPr="004E71D5">
        <w:t xml:space="preserve">mala inštitúcia druhostupňovo spracovaných len </w:t>
      </w:r>
      <w:r w:rsidR="0039145E" w:rsidRPr="004E71D5">
        <w:t>35,19</w:t>
      </w:r>
      <w:r w:rsidR="00FF5868" w:rsidRPr="004E71D5">
        <w:t xml:space="preserve">% svojich zbierok, v roku  </w:t>
      </w:r>
      <w:r w:rsidR="0039145E" w:rsidRPr="004E71D5">
        <w:t xml:space="preserve">2014 </w:t>
      </w:r>
      <w:r w:rsidR="00FF5868" w:rsidRPr="004E71D5">
        <w:t>nastalo zlepšen</w:t>
      </w:r>
      <w:r w:rsidR="00E935E9" w:rsidRPr="004E71D5">
        <w:t xml:space="preserve">ie a spracovanosť sa zvýšila na 57,80%. </w:t>
      </w:r>
      <w:r w:rsidR="00FF5868" w:rsidRPr="004E71D5">
        <w:t xml:space="preserve">Inštitúcia postupuje s katalogizáciou pomaly jednak kvôli nedostatku odborného personálu a na druhej strane kvôli hromadne </w:t>
      </w:r>
      <w:r w:rsidR="00FF5868" w:rsidRPr="004E71D5">
        <w:lastRenderedPageBreak/>
        <w:t>kumulovaným funkciám zamestnancov. Situáciu sa snaží HMF preklenúť presnými popismi zbierkových predmetov v prvostupňovej evidencii.</w:t>
      </w:r>
    </w:p>
    <w:p w:rsidR="009A233D" w:rsidRDefault="00FF5868" w:rsidP="009A233D">
      <w:pPr>
        <w:spacing w:line="360" w:lineRule="auto"/>
        <w:ind w:firstLine="708"/>
        <w:jc w:val="both"/>
        <w:rPr>
          <w:bCs/>
          <w:iCs/>
        </w:rPr>
      </w:pPr>
      <w:r w:rsidRPr="004E71D5">
        <w:rPr>
          <w:bCs/>
          <w:iCs/>
        </w:rPr>
        <w:t xml:space="preserve">Celkový počet kníh v elektronicky evidovanej odbornej knižnici HMF vedenej v programe KIS MASK bol ku koncu roku: </w:t>
      </w:r>
      <w:r w:rsidR="009A233D">
        <w:rPr>
          <w:bCs/>
          <w:iCs/>
          <w:highlight w:val="yellow"/>
        </w:rPr>
        <w:t xml:space="preserve">* </w:t>
      </w:r>
      <w:r w:rsidRPr="004E71D5">
        <w:rPr>
          <w:bCs/>
          <w:iCs/>
          <w:highlight w:val="yellow"/>
        </w:rPr>
        <w:t>kusov</w:t>
      </w:r>
      <w:r w:rsidRPr="004E71D5">
        <w:rPr>
          <w:bCs/>
          <w:iCs/>
        </w:rPr>
        <w:t>. Knižničné jednotky sú označené čiarovými kódmi a informácie o knižnici sú on-line prístupné cez internetovú stránku Slovenskej národnej knižnice.</w:t>
      </w:r>
    </w:p>
    <w:p w:rsidR="009A233D" w:rsidRDefault="009A233D" w:rsidP="009A233D">
      <w:pPr>
        <w:spacing w:line="360" w:lineRule="auto"/>
        <w:jc w:val="both"/>
      </w:pPr>
      <w:r>
        <w:rPr>
          <w:bCs/>
          <w:iCs/>
        </w:rPr>
        <w:t>*</w:t>
      </w:r>
      <w:r w:rsidR="00FF5868" w:rsidRPr="004E71D5">
        <w:t xml:space="preserve">  </w:t>
      </w:r>
      <w:r>
        <w:t>doplniť</w:t>
      </w:r>
    </w:p>
    <w:p w:rsidR="00FF5868" w:rsidRPr="009A233D" w:rsidRDefault="00FF5868" w:rsidP="009A233D">
      <w:pPr>
        <w:spacing w:line="360" w:lineRule="auto"/>
        <w:jc w:val="both"/>
        <w:rPr>
          <w:bCs/>
          <w:iCs/>
        </w:rPr>
      </w:pPr>
      <w:r w:rsidRPr="004E71D5">
        <w:t xml:space="preserve">                 </w:t>
      </w:r>
      <w:r w:rsidRPr="004E71D5">
        <w:tab/>
      </w:r>
      <w:r w:rsidRPr="004E71D5">
        <w:tab/>
      </w:r>
      <w:r w:rsidRPr="004E71D5">
        <w:tab/>
      </w:r>
      <w:r w:rsidRPr="004E71D5">
        <w:tab/>
        <w:t xml:space="preserve">      </w:t>
      </w:r>
    </w:p>
    <w:p w:rsidR="00FF5868" w:rsidRPr="004E71D5" w:rsidRDefault="00FF5868" w:rsidP="00FF5868">
      <w:pPr>
        <w:spacing w:line="360" w:lineRule="auto"/>
        <w:jc w:val="both"/>
        <w:rPr>
          <w:b/>
          <w:bCs/>
          <w:iCs/>
        </w:rPr>
      </w:pPr>
      <w:r w:rsidRPr="004E71D5">
        <w:rPr>
          <w:b/>
          <w:bCs/>
          <w:iCs/>
        </w:rPr>
        <w:t>III. Expozičná a výstavná činnosť, pohyb zbierok</w:t>
      </w:r>
    </w:p>
    <w:p w:rsidR="00FF5868" w:rsidRDefault="00FF5868" w:rsidP="00FF5868">
      <w:pPr>
        <w:spacing w:line="360" w:lineRule="auto"/>
        <w:jc w:val="both"/>
      </w:pPr>
      <w:r w:rsidRPr="004E71D5">
        <w:tab/>
        <w:t xml:space="preserve">V Bebekovej veži má HMF sprístupnené dve stále expozície: archeologicko-historickú a paleontologickú. </w:t>
      </w:r>
      <w:r w:rsidR="008E2F0E" w:rsidRPr="004E71D5">
        <w:t>V roku 2014</w:t>
      </w:r>
      <w:r w:rsidRPr="004E71D5">
        <w:t xml:space="preserve"> </w:t>
      </w:r>
      <w:r w:rsidR="008E2F0E" w:rsidRPr="004E71D5">
        <w:t>bola vydaná prepracovaná verzia</w:t>
      </w:r>
      <w:r w:rsidRPr="004E71D5">
        <w:t xml:space="preserve"> dvojjazyčného sprievodcu k stálej expozícii „Stáročia Fiľakovského hradu</w:t>
      </w:r>
      <w:r w:rsidR="008E2F0E" w:rsidRPr="004E71D5">
        <w:t>“</w:t>
      </w:r>
      <w:r w:rsidR="001E1A35" w:rsidRPr="004E71D5">
        <w:t xml:space="preserve"> v maďarskom (600 ks) a slovenskom (600 ks) jazyku</w:t>
      </w:r>
      <w:r w:rsidRPr="004E71D5">
        <w:t xml:space="preserve">. </w:t>
      </w:r>
      <w:r w:rsidR="001E1A35" w:rsidRPr="004E71D5">
        <w:t>V septembri bola sprístupnená dlhoplánovaná nová stála expozícia</w:t>
      </w:r>
      <w:r w:rsidRPr="004E71D5">
        <w:t xml:space="preserve"> Mestského </w:t>
      </w:r>
      <w:r w:rsidR="001E1A35" w:rsidRPr="004E71D5">
        <w:t xml:space="preserve">vlativedného </w:t>
      </w:r>
      <w:r w:rsidRPr="004E71D5">
        <w:t xml:space="preserve">múzea </w:t>
      </w:r>
      <w:r w:rsidR="001E1A35" w:rsidRPr="004E71D5">
        <w:t xml:space="preserve">s názvom: „Od fiľakovskej palmy k svetoznámemu kohútovi“. Realizácii expozície predchádzala dlhodobá príprava nielen kontextu samotnej výstavy, ale aj akvizícia a reštaurovanie zbierkových predmetov, a príprava výstavných priestorov </w:t>
      </w:r>
      <w:r w:rsidR="008F69E7" w:rsidRPr="004E71D5">
        <w:t xml:space="preserve">so zabezpečením vhodných klimatických podmienok pre exponáty, </w:t>
      </w:r>
      <w:r w:rsidR="001E1A35" w:rsidRPr="004E71D5">
        <w:t xml:space="preserve">finacovaná  prevažne z dotácií MK SR. </w:t>
      </w:r>
      <w:r w:rsidR="008F69E7" w:rsidRPr="004E71D5">
        <w:tab/>
        <w:t xml:space="preserve">V roku 2014 sa okrem novej stálej expozície MVM </w:t>
      </w:r>
      <w:r w:rsidRPr="004E71D5">
        <w:t xml:space="preserve">nainštalovalo </w:t>
      </w:r>
      <w:r w:rsidR="008F69E7" w:rsidRPr="004E71D5">
        <w:t xml:space="preserve">HMF </w:t>
      </w:r>
      <w:r w:rsidRPr="004E71D5">
        <w:t>13 výstav</w:t>
      </w:r>
      <w:r w:rsidR="004E71D5" w:rsidRPr="004E71D5">
        <w:t xml:space="preserve"> vo vlastných priestoroch, 1 výstavu v Tekovskom múzeu v Leviciach s názvom: „Predstavuje sa Hradné múzeum vo Fiľakove“ a uskutočnilo 2 reprízy výstavy s názvom: „Bronzová doba na území historického Novohradu a Gemera-Malohontu“</w:t>
      </w:r>
      <w:r w:rsidR="00970B7A">
        <w:t xml:space="preserve"> v Gemersko-malohontskom múzeu v Rimavskej Sobote a v Baníckom múzeu v Rožňave</w:t>
      </w:r>
      <w:r w:rsidR="004E71D5" w:rsidRPr="004E71D5">
        <w:t>.</w:t>
      </w:r>
    </w:p>
    <w:p w:rsidR="001009D8" w:rsidRDefault="001009D8" w:rsidP="00FF5868">
      <w:pPr>
        <w:spacing w:line="360" w:lineRule="auto"/>
        <w:jc w:val="both"/>
      </w:pPr>
    </w:p>
    <w:p w:rsidR="001009D8" w:rsidRDefault="001009D8" w:rsidP="00FF5868">
      <w:pPr>
        <w:spacing w:line="360" w:lineRule="auto"/>
        <w:jc w:val="both"/>
        <w:rPr>
          <w:b/>
          <w:i/>
        </w:rPr>
      </w:pPr>
      <w:r w:rsidRPr="001009D8">
        <w:rPr>
          <w:b/>
          <w:i/>
        </w:rPr>
        <w:t>Expozície HMF v roku 2014</w:t>
      </w:r>
      <w:r>
        <w:rPr>
          <w:b/>
          <w:i/>
        </w:rPr>
        <w:t>:</w:t>
      </w:r>
    </w:p>
    <w:p w:rsidR="001009D8" w:rsidRDefault="001009D8" w:rsidP="00FF5868">
      <w:pPr>
        <w:spacing w:line="360" w:lineRule="auto"/>
        <w:jc w:val="both"/>
        <w:rPr>
          <w:b/>
          <w:i/>
        </w:rPr>
      </w:pPr>
    </w:p>
    <w:tbl>
      <w:tblPr>
        <w:tblStyle w:val="Mriekatabuky"/>
        <w:tblW w:w="0" w:type="auto"/>
        <w:tblLook w:val="04A0" w:firstRow="1" w:lastRow="0" w:firstColumn="1" w:lastColumn="0" w:noHBand="0" w:noVBand="1"/>
      </w:tblPr>
      <w:tblGrid>
        <w:gridCol w:w="2093"/>
        <w:gridCol w:w="1543"/>
        <w:gridCol w:w="1008"/>
        <w:gridCol w:w="1701"/>
        <w:gridCol w:w="1418"/>
        <w:gridCol w:w="1417"/>
      </w:tblGrid>
      <w:tr w:rsidR="001009D8" w:rsidRPr="001009D8" w:rsidTr="001009D8">
        <w:tc>
          <w:tcPr>
            <w:tcW w:w="2093" w:type="dxa"/>
            <w:shd w:val="pct20" w:color="auto" w:fill="auto"/>
          </w:tcPr>
          <w:p w:rsidR="001009D8" w:rsidRPr="001009D8" w:rsidRDefault="001009D8" w:rsidP="00FF5868">
            <w:pPr>
              <w:spacing w:line="360" w:lineRule="auto"/>
              <w:jc w:val="both"/>
              <w:rPr>
                <w:b/>
              </w:rPr>
            </w:pPr>
            <w:r w:rsidRPr="001009D8">
              <w:rPr>
                <w:b/>
              </w:rPr>
              <w:t>Názov expozície</w:t>
            </w:r>
          </w:p>
        </w:tc>
        <w:tc>
          <w:tcPr>
            <w:tcW w:w="1543" w:type="dxa"/>
            <w:shd w:val="pct20" w:color="auto" w:fill="auto"/>
          </w:tcPr>
          <w:p w:rsidR="001009D8" w:rsidRPr="001009D8" w:rsidRDefault="001009D8" w:rsidP="00FF5868">
            <w:pPr>
              <w:spacing w:line="360" w:lineRule="auto"/>
              <w:jc w:val="both"/>
              <w:rPr>
                <w:b/>
              </w:rPr>
            </w:pPr>
            <w:r w:rsidRPr="001009D8">
              <w:rPr>
                <w:b/>
              </w:rPr>
              <w:t>Adresa</w:t>
            </w:r>
          </w:p>
        </w:tc>
        <w:tc>
          <w:tcPr>
            <w:tcW w:w="1008" w:type="dxa"/>
            <w:shd w:val="pct20" w:color="auto" w:fill="auto"/>
          </w:tcPr>
          <w:p w:rsidR="001009D8" w:rsidRPr="001009D8" w:rsidRDefault="001009D8" w:rsidP="00FF5868">
            <w:pPr>
              <w:spacing w:line="360" w:lineRule="auto"/>
              <w:jc w:val="both"/>
              <w:rPr>
                <w:b/>
              </w:rPr>
            </w:pPr>
            <w:r w:rsidRPr="001009D8">
              <w:rPr>
                <w:b/>
              </w:rPr>
              <w:t>Rok</w:t>
            </w:r>
          </w:p>
        </w:tc>
        <w:tc>
          <w:tcPr>
            <w:tcW w:w="1701" w:type="dxa"/>
            <w:shd w:val="pct20" w:color="auto" w:fill="auto"/>
          </w:tcPr>
          <w:p w:rsidR="001009D8" w:rsidRPr="001009D8" w:rsidRDefault="001009D8" w:rsidP="00FF5868">
            <w:pPr>
              <w:spacing w:line="360" w:lineRule="auto"/>
              <w:jc w:val="both"/>
              <w:rPr>
                <w:b/>
              </w:rPr>
            </w:pPr>
            <w:r w:rsidRPr="001009D8">
              <w:rPr>
                <w:b/>
              </w:rPr>
              <w:t>Druh</w:t>
            </w:r>
          </w:p>
        </w:tc>
        <w:tc>
          <w:tcPr>
            <w:tcW w:w="1418" w:type="dxa"/>
            <w:shd w:val="pct20" w:color="auto" w:fill="auto"/>
          </w:tcPr>
          <w:p w:rsidR="001009D8" w:rsidRPr="001009D8" w:rsidRDefault="001009D8" w:rsidP="00FF5868">
            <w:pPr>
              <w:spacing w:line="360" w:lineRule="auto"/>
              <w:jc w:val="both"/>
              <w:rPr>
                <w:b/>
              </w:rPr>
            </w:pPr>
            <w:r w:rsidRPr="001009D8">
              <w:rPr>
                <w:b/>
              </w:rPr>
              <w:t>Úpravy</w:t>
            </w:r>
          </w:p>
        </w:tc>
        <w:tc>
          <w:tcPr>
            <w:tcW w:w="1417" w:type="dxa"/>
            <w:shd w:val="pct20" w:color="auto" w:fill="auto"/>
          </w:tcPr>
          <w:p w:rsidR="001009D8" w:rsidRPr="001009D8" w:rsidRDefault="001009D8" w:rsidP="00FF5868">
            <w:pPr>
              <w:spacing w:line="360" w:lineRule="auto"/>
              <w:jc w:val="both"/>
              <w:rPr>
                <w:b/>
              </w:rPr>
            </w:pPr>
            <w:r w:rsidRPr="001009D8">
              <w:rPr>
                <w:b/>
              </w:rPr>
              <w:t>Katalóg</w:t>
            </w:r>
          </w:p>
        </w:tc>
      </w:tr>
      <w:tr w:rsidR="001009D8" w:rsidRPr="001009D8" w:rsidTr="001009D8">
        <w:tc>
          <w:tcPr>
            <w:tcW w:w="2093" w:type="dxa"/>
          </w:tcPr>
          <w:p w:rsidR="001009D8" w:rsidRPr="001009D8" w:rsidRDefault="001009D8" w:rsidP="001009D8">
            <w:pPr>
              <w:spacing w:line="276" w:lineRule="auto"/>
              <w:jc w:val="both"/>
              <w:rPr>
                <w:sz w:val="20"/>
                <w:szCs w:val="20"/>
              </w:rPr>
            </w:pPr>
            <w:r w:rsidRPr="001009D8">
              <w:rPr>
                <w:sz w:val="20"/>
                <w:szCs w:val="20"/>
              </w:rPr>
              <w:t>Od fiľakovskej palmy k svetoznámemu kohútov</w:t>
            </w:r>
          </w:p>
        </w:tc>
        <w:tc>
          <w:tcPr>
            <w:tcW w:w="1543" w:type="dxa"/>
          </w:tcPr>
          <w:p w:rsidR="001009D8" w:rsidRPr="001009D8" w:rsidRDefault="001009D8" w:rsidP="001009D8">
            <w:pPr>
              <w:pStyle w:val="VykazTabtextvlavo"/>
              <w:spacing w:line="276" w:lineRule="auto"/>
              <w:rPr>
                <w:rFonts w:ascii="Times New Roman" w:hAnsi="Times New Roman"/>
                <w:noProof/>
                <w:sz w:val="20"/>
              </w:rPr>
            </w:pPr>
            <w:r w:rsidRPr="001009D8">
              <w:rPr>
                <w:rFonts w:ascii="Times New Roman" w:hAnsi="Times New Roman"/>
                <w:noProof/>
                <w:sz w:val="20"/>
              </w:rPr>
              <w:t>Fiľakovský hrad</w:t>
            </w:r>
          </w:p>
          <w:p w:rsidR="001009D8" w:rsidRPr="001009D8" w:rsidRDefault="001009D8" w:rsidP="001009D8">
            <w:pPr>
              <w:pStyle w:val="VykazTabtextvlavo"/>
              <w:spacing w:line="276" w:lineRule="auto"/>
              <w:rPr>
                <w:rFonts w:ascii="Times New Roman" w:hAnsi="Times New Roman"/>
                <w:noProof/>
                <w:sz w:val="20"/>
              </w:rPr>
            </w:pPr>
            <w:r w:rsidRPr="001009D8">
              <w:rPr>
                <w:rFonts w:ascii="Times New Roman" w:hAnsi="Times New Roman"/>
                <w:noProof/>
                <w:sz w:val="20"/>
              </w:rPr>
              <w:t xml:space="preserve">Hlavná ul 14, </w:t>
            </w:r>
          </w:p>
          <w:p w:rsidR="001009D8" w:rsidRPr="001009D8" w:rsidRDefault="001009D8" w:rsidP="001009D8">
            <w:pPr>
              <w:spacing w:line="276" w:lineRule="auto"/>
              <w:jc w:val="both"/>
              <w:rPr>
                <w:sz w:val="20"/>
                <w:szCs w:val="20"/>
              </w:rPr>
            </w:pPr>
            <w:r w:rsidRPr="001009D8">
              <w:rPr>
                <w:sz w:val="20"/>
                <w:szCs w:val="20"/>
              </w:rPr>
              <w:t>98601 Fiľakovo</w:t>
            </w:r>
          </w:p>
        </w:tc>
        <w:tc>
          <w:tcPr>
            <w:tcW w:w="1008" w:type="dxa"/>
          </w:tcPr>
          <w:p w:rsidR="001009D8" w:rsidRPr="001009D8" w:rsidRDefault="001009D8" w:rsidP="001009D8">
            <w:pPr>
              <w:spacing w:line="276" w:lineRule="auto"/>
              <w:jc w:val="both"/>
              <w:rPr>
                <w:sz w:val="20"/>
                <w:szCs w:val="20"/>
              </w:rPr>
            </w:pPr>
            <w:r w:rsidRPr="001009D8">
              <w:rPr>
                <w:sz w:val="20"/>
                <w:szCs w:val="20"/>
              </w:rPr>
              <w:t>2014</w:t>
            </w:r>
          </w:p>
        </w:tc>
        <w:tc>
          <w:tcPr>
            <w:tcW w:w="1701" w:type="dxa"/>
          </w:tcPr>
          <w:p w:rsidR="001009D8" w:rsidRPr="001009D8" w:rsidRDefault="001009D8" w:rsidP="001009D8">
            <w:pPr>
              <w:spacing w:line="276" w:lineRule="auto"/>
              <w:jc w:val="both"/>
              <w:rPr>
                <w:sz w:val="20"/>
                <w:szCs w:val="20"/>
              </w:rPr>
            </w:pPr>
            <w:r w:rsidRPr="001009D8">
              <w:rPr>
                <w:sz w:val="20"/>
                <w:szCs w:val="20"/>
              </w:rPr>
              <w:t>spoločenskovedná</w:t>
            </w:r>
          </w:p>
        </w:tc>
        <w:tc>
          <w:tcPr>
            <w:tcW w:w="1418" w:type="dxa"/>
          </w:tcPr>
          <w:p w:rsidR="001009D8" w:rsidRPr="001009D8" w:rsidRDefault="001009D8" w:rsidP="001009D8">
            <w:pPr>
              <w:spacing w:line="276" w:lineRule="auto"/>
              <w:jc w:val="both"/>
              <w:rPr>
                <w:sz w:val="20"/>
                <w:szCs w:val="20"/>
              </w:rPr>
            </w:pPr>
          </w:p>
        </w:tc>
        <w:tc>
          <w:tcPr>
            <w:tcW w:w="1417" w:type="dxa"/>
          </w:tcPr>
          <w:p w:rsidR="001009D8" w:rsidRPr="001009D8" w:rsidRDefault="001009D8" w:rsidP="001009D8">
            <w:pPr>
              <w:spacing w:line="276" w:lineRule="auto"/>
              <w:jc w:val="both"/>
              <w:rPr>
                <w:sz w:val="20"/>
                <w:szCs w:val="20"/>
              </w:rPr>
            </w:pPr>
            <w:r w:rsidRPr="001009D8">
              <w:rPr>
                <w:sz w:val="20"/>
                <w:szCs w:val="20"/>
              </w:rPr>
              <w:t>nie</w:t>
            </w:r>
          </w:p>
        </w:tc>
      </w:tr>
    </w:tbl>
    <w:p w:rsidR="001009D8" w:rsidRPr="001009D8" w:rsidRDefault="001009D8" w:rsidP="00FF5868">
      <w:pPr>
        <w:spacing w:line="360" w:lineRule="auto"/>
        <w:jc w:val="both"/>
        <w:rPr>
          <w:b/>
          <w:i/>
        </w:rPr>
      </w:pPr>
    </w:p>
    <w:p w:rsidR="004E71D5" w:rsidRPr="004E71D5" w:rsidRDefault="004E71D5" w:rsidP="00FF5868">
      <w:pPr>
        <w:spacing w:line="360" w:lineRule="auto"/>
        <w:jc w:val="both"/>
      </w:pPr>
    </w:p>
    <w:p w:rsidR="004E71D5" w:rsidRDefault="00FF5868" w:rsidP="00FF5868">
      <w:pPr>
        <w:spacing w:line="360" w:lineRule="auto"/>
        <w:rPr>
          <w:b/>
          <w:i/>
        </w:rPr>
      </w:pPr>
      <w:r w:rsidRPr="004E71D5">
        <w:rPr>
          <w:b/>
          <w:i/>
        </w:rPr>
        <w:t>Výstav</w:t>
      </w:r>
      <w:r w:rsidR="004E71D5">
        <w:rPr>
          <w:b/>
          <w:i/>
        </w:rPr>
        <w:t>y HMF v roku 2014:</w:t>
      </w:r>
    </w:p>
    <w:p w:rsidR="00FF5868" w:rsidRPr="004E71D5" w:rsidRDefault="00FF5868" w:rsidP="00FF5868">
      <w:pPr>
        <w:spacing w:line="360" w:lineRule="auto"/>
        <w:rPr>
          <w:b/>
          <w:i/>
        </w:rPr>
      </w:pPr>
      <w:r w:rsidRPr="004E71D5">
        <w:rPr>
          <w:b/>
          <w: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29"/>
        <w:gridCol w:w="1794"/>
        <w:gridCol w:w="1373"/>
        <w:gridCol w:w="1170"/>
        <w:gridCol w:w="1074"/>
        <w:gridCol w:w="1083"/>
        <w:gridCol w:w="1469"/>
        <w:gridCol w:w="736"/>
      </w:tblGrid>
      <w:tr w:rsidR="00FF5868" w:rsidRPr="001009D8" w:rsidTr="001009D8">
        <w:trPr>
          <w:cantSplit/>
        </w:trPr>
        <w:tc>
          <w:tcPr>
            <w:tcW w:w="429" w:type="dxa"/>
            <w:shd w:val="clear" w:color="auto" w:fill="C0C0C0"/>
          </w:tcPr>
          <w:p w:rsidR="00FF5868" w:rsidRPr="001009D8" w:rsidRDefault="00FF5868" w:rsidP="0016092C">
            <w:pPr>
              <w:pStyle w:val="StylTableHeadText"/>
              <w:spacing w:afterAutospacing="0" w:line="360" w:lineRule="auto"/>
              <w:rPr>
                <w:rFonts w:ascii="Times New Roman" w:hAnsi="Times New Roman"/>
                <w:sz w:val="20"/>
                <w:lang w:val="sk-SK"/>
              </w:rPr>
            </w:pPr>
          </w:p>
        </w:tc>
        <w:tc>
          <w:tcPr>
            <w:tcW w:w="1794" w:type="dxa"/>
            <w:shd w:val="clear" w:color="auto" w:fill="C0C0C0"/>
            <w:vAlign w:val="center"/>
          </w:tcPr>
          <w:p w:rsidR="00FF5868" w:rsidRPr="001009D8" w:rsidRDefault="00FF5868" w:rsidP="0016092C">
            <w:pPr>
              <w:pStyle w:val="StylTableHeadText"/>
              <w:spacing w:afterAutospacing="0" w:line="360" w:lineRule="auto"/>
              <w:rPr>
                <w:rFonts w:ascii="Times New Roman" w:hAnsi="Times New Roman"/>
                <w:sz w:val="20"/>
                <w:lang w:val="sk-SK"/>
              </w:rPr>
            </w:pPr>
            <w:r w:rsidRPr="001009D8">
              <w:rPr>
                <w:rFonts w:ascii="Times New Roman" w:hAnsi="Times New Roman"/>
                <w:sz w:val="20"/>
                <w:lang w:val="sk-SK"/>
              </w:rPr>
              <w:t>Názov výstavy:</w:t>
            </w:r>
          </w:p>
        </w:tc>
        <w:tc>
          <w:tcPr>
            <w:tcW w:w="1373" w:type="dxa"/>
            <w:shd w:val="clear" w:color="auto" w:fill="C0C0C0"/>
            <w:vAlign w:val="center"/>
          </w:tcPr>
          <w:p w:rsidR="00FF5868" w:rsidRPr="001009D8" w:rsidRDefault="00FF5868" w:rsidP="0016092C">
            <w:pPr>
              <w:pStyle w:val="StylTableHeadText"/>
              <w:spacing w:afterAutospacing="0" w:line="360" w:lineRule="auto"/>
              <w:rPr>
                <w:rFonts w:ascii="Times New Roman" w:hAnsi="Times New Roman"/>
                <w:sz w:val="20"/>
                <w:lang w:val="sk-SK"/>
              </w:rPr>
            </w:pPr>
            <w:r w:rsidRPr="001009D8">
              <w:rPr>
                <w:rFonts w:ascii="Times New Roman" w:hAnsi="Times New Roman"/>
                <w:sz w:val="20"/>
                <w:lang w:val="sk-SK"/>
              </w:rPr>
              <w:t>Autori:</w:t>
            </w:r>
          </w:p>
        </w:tc>
        <w:tc>
          <w:tcPr>
            <w:tcW w:w="1170" w:type="dxa"/>
            <w:shd w:val="clear" w:color="auto" w:fill="C0C0C0"/>
            <w:vAlign w:val="center"/>
          </w:tcPr>
          <w:p w:rsidR="00FF5868" w:rsidRPr="001009D8" w:rsidRDefault="00FF5868" w:rsidP="0016092C">
            <w:pPr>
              <w:pStyle w:val="StylTableHeadText"/>
              <w:spacing w:afterAutospacing="0" w:line="360" w:lineRule="auto"/>
              <w:rPr>
                <w:rFonts w:ascii="Times New Roman" w:hAnsi="Times New Roman"/>
                <w:sz w:val="20"/>
                <w:lang w:val="sk-SK"/>
              </w:rPr>
            </w:pPr>
            <w:r w:rsidRPr="001009D8">
              <w:rPr>
                <w:rFonts w:ascii="Times New Roman" w:hAnsi="Times New Roman"/>
                <w:sz w:val="20"/>
                <w:lang w:val="sk-SK"/>
              </w:rPr>
              <w:t>Miesto inštalácie:</w:t>
            </w:r>
          </w:p>
        </w:tc>
        <w:tc>
          <w:tcPr>
            <w:tcW w:w="1074" w:type="dxa"/>
            <w:shd w:val="clear" w:color="auto" w:fill="C0C0C0"/>
            <w:vAlign w:val="center"/>
          </w:tcPr>
          <w:p w:rsidR="00FF5868" w:rsidRPr="001009D8" w:rsidRDefault="00FF5868" w:rsidP="0016092C">
            <w:pPr>
              <w:pStyle w:val="StylTableHeadText"/>
              <w:spacing w:afterAutospacing="0" w:line="360" w:lineRule="auto"/>
              <w:rPr>
                <w:rFonts w:ascii="Times New Roman" w:hAnsi="Times New Roman"/>
                <w:sz w:val="20"/>
                <w:lang w:val="sk-SK"/>
              </w:rPr>
            </w:pPr>
            <w:r w:rsidRPr="001009D8">
              <w:rPr>
                <w:rFonts w:ascii="Times New Roman" w:hAnsi="Times New Roman"/>
                <w:sz w:val="20"/>
                <w:lang w:val="sk-SK"/>
              </w:rPr>
              <w:t>Trvanie:</w:t>
            </w:r>
          </w:p>
        </w:tc>
        <w:tc>
          <w:tcPr>
            <w:tcW w:w="1083" w:type="dxa"/>
            <w:shd w:val="clear" w:color="auto" w:fill="C0C0C0"/>
            <w:vAlign w:val="center"/>
          </w:tcPr>
          <w:p w:rsidR="00FF5868" w:rsidRPr="001009D8" w:rsidRDefault="00FF5868" w:rsidP="0016092C">
            <w:pPr>
              <w:pStyle w:val="StylTableHeadText"/>
              <w:spacing w:afterAutospacing="0" w:line="360" w:lineRule="auto"/>
              <w:rPr>
                <w:rFonts w:ascii="Times New Roman" w:hAnsi="Times New Roman"/>
                <w:sz w:val="20"/>
                <w:lang w:val="sk-SK"/>
              </w:rPr>
            </w:pPr>
            <w:r w:rsidRPr="001009D8">
              <w:rPr>
                <w:rFonts w:ascii="Times New Roman" w:hAnsi="Times New Roman"/>
                <w:sz w:val="20"/>
                <w:lang w:val="sk-SK"/>
              </w:rPr>
              <w:t>Pôvodnosť:</w:t>
            </w:r>
          </w:p>
        </w:tc>
        <w:tc>
          <w:tcPr>
            <w:tcW w:w="1469" w:type="dxa"/>
            <w:shd w:val="clear" w:color="auto" w:fill="C0C0C0"/>
            <w:vAlign w:val="center"/>
          </w:tcPr>
          <w:p w:rsidR="00FF5868" w:rsidRPr="001009D8" w:rsidRDefault="00FF5868" w:rsidP="0016092C">
            <w:pPr>
              <w:pStyle w:val="StylTableHeadText"/>
              <w:spacing w:afterAutospacing="0" w:line="360" w:lineRule="auto"/>
              <w:rPr>
                <w:rFonts w:ascii="Times New Roman" w:hAnsi="Times New Roman"/>
                <w:sz w:val="20"/>
                <w:lang w:val="sk-SK"/>
              </w:rPr>
            </w:pPr>
            <w:r w:rsidRPr="001009D8">
              <w:rPr>
                <w:rFonts w:ascii="Times New Roman" w:hAnsi="Times New Roman"/>
                <w:sz w:val="20"/>
                <w:lang w:val="sk-SK"/>
              </w:rPr>
              <w:t>Odbor:</w:t>
            </w:r>
          </w:p>
        </w:tc>
        <w:tc>
          <w:tcPr>
            <w:tcW w:w="736" w:type="dxa"/>
            <w:shd w:val="clear" w:color="auto" w:fill="C0C0C0"/>
            <w:vAlign w:val="center"/>
          </w:tcPr>
          <w:p w:rsidR="00FF5868" w:rsidRPr="001009D8" w:rsidRDefault="00FF5868" w:rsidP="0016092C">
            <w:pPr>
              <w:pStyle w:val="StylTableHeadText"/>
              <w:spacing w:afterAutospacing="0" w:line="360" w:lineRule="auto"/>
              <w:rPr>
                <w:rFonts w:ascii="Times New Roman" w:hAnsi="Times New Roman"/>
                <w:sz w:val="20"/>
                <w:lang w:val="sk-SK"/>
              </w:rPr>
            </w:pPr>
            <w:r w:rsidRPr="001009D8">
              <w:rPr>
                <w:rFonts w:ascii="Times New Roman" w:hAnsi="Times New Roman"/>
                <w:sz w:val="20"/>
                <w:lang w:val="sk-SK"/>
              </w:rPr>
              <w:t>Plocha:</w:t>
            </w:r>
          </w:p>
        </w:tc>
      </w:tr>
      <w:tr w:rsidR="00FF5868" w:rsidRPr="001009D8" w:rsidTr="001009D8">
        <w:trPr>
          <w:cantSplit/>
        </w:trPr>
        <w:tc>
          <w:tcPr>
            <w:tcW w:w="429" w:type="dxa"/>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lastRenderedPageBreak/>
              <w:t>1.</w:t>
            </w:r>
          </w:p>
        </w:tc>
        <w:tc>
          <w:tcPr>
            <w:tcW w:w="1794" w:type="dxa"/>
            <w:vAlign w:val="center"/>
          </w:tcPr>
          <w:p w:rsidR="00FF5868" w:rsidRPr="001009D8" w:rsidRDefault="004E71D5" w:rsidP="001009D8">
            <w:pPr>
              <w:pStyle w:val="StylTableText"/>
              <w:spacing w:afterAutospacing="0"/>
              <w:rPr>
                <w:rFonts w:ascii="Times New Roman" w:hAnsi="Times New Roman"/>
                <w:sz w:val="20"/>
                <w:lang w:val="sk-SK"/>
              </w:rPr>
            </w:pPr>
            <w:r w:rsidRPr="001009D8">
              <w:rPr>
                <w:rFonts w:ascii="Times New Roman" w:hAnsi="Times New Roman"/>
                <w:sz w:val="20"/>
              </w:rPr>
              <w:t>NAUTICA – História uhorskej kráľovskej námorníckej akadémie</w:t>
            </w:r>
            <w:r w:rsidRPr="001009D8">
              <w:rPr>
                <w:sz w:val="20"/>
              </w:rPr>
              <w:t> </w:t>
            </w:r>
            <w:r w:rsidRPr="001009D8">
              <w:rPr>
                <w:sz w:val="20"/>
              </w:rPr>
              <w:t> </w:t>
            </w:r>
            <w:r w:rsidRPr="001009D8">
              <w:rPr>
                <w:sz w:val="20"/>
              </w:rPr>
              <w:t> </w:t>
            </w:r>
            <w:r w:rsidRPr="001009D8">
              <w:rPr>
                <w:sz w:val="20"/>
              </w:rPr>
              <w:t> </w:t>
            </w:r>
            <w:r w:rsidRPr="001009D8">
              <w:rPr>
                <w:sz w:val="20"/>
              </w:rPr>
              <w:t> </w:t>
            </w:r>
          </w:p>
        </w:tc>
        <w:tc>
          <w:tcPr>
            <w:tcW w:w="1373" w:type="dxa"/>
            <w:vAlign w:val="center"/>
          </w:tcPr>
          <w:p w:rsidR="00FF5868"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rPr>
              <w:t>J. Horváth</w:t>
            </w:r>
          </w:p>
        </w:tc>
        <w:tc>
          <w:tcPr>
            <w:tcW w:w="1170" w:type="dxa"/>
            <w:vAlign w:val="center"/>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galéria Mestského vlastivedného múzea</w:t>
            </w:r>
          </w:p>
        </w:tc>
        <w:tc>
          <w:tcPr>
            <w:tcW w:w="1074" w:type="dxa"/>
            <w:vAlign w:val="center"/>
          </w:tcPr>
          <w:p w:rsidR="00FF5868" w:rsidRPr="001009D8" w:rsidRDefault="001009D8" w:rsidP="001009D8">
            <w:pPr>
              <w:pStyle w:val="StylTableText"/>
              <w:spacing w:afterAutospacing="0"/>
              <w:rPr>
                <w:rFonts w:ascii="Times New Roman" w:hAnsi="Times New Roman"/>
                <w:sz w:val="20"/>
                <w:lang w:val="sk-SK"/>
              </w:rPr>
            </w:pPr>
            <w:r w:rsidRPr="001009D8">
              <w:rPr>
                <w:rFonts w:ascii="Times New Roman" w:hAnsi="Times New Roman"/>
                <w:sz w:val="20"/>
              </w:rPr>
              <w:t>7. 2. 2014 – 28. 3. 2014</w:t>
            </w:r>
          </w:p>
        </w:tc>
        <w:tc>
          <w:tcPr>
            <w:tcW w:w="1083" w:type="dxa"/>
            <w:vAlign w:val="center"/>
          </w:tcPr>
          <w:p w:rsidR="00FF5868" w:rsidRPr="001009D8" w:rsidRDefault="001009D8" w:rsidP="001009D8">
            <w:pPr>
              <w:pStyle w:val="StylTableText"/>
              <w:spacing w:afterAutospacing="0"/>
              <w:rPr>
                <w:rFonts w:ascii="Times New Roman" w:hAnsi="Times New Roman"/>
                <w:sz w:val="20"/>
                <w:lang w:val="sk-SK"/>
              </w:rPr>
            </w:pPr>
            <w:r w:rsidRPr="001009D8">
              <w:rPr>
                <w:rFonts w:ascii="Times New Roman" w:hAnsi="Times New Roman"/>
                <w:sz w:val="20"/>
                <w:lang w:val="sk-SK"/>
              </w:rPr>
              <w:t>dovezená</w:t>
            </w:r>
          </w:p>
        </w:tc>
        <w:tc>
          <w:tcPr>
            <w:tcW w:w="1469" w:type="dxa"/>
            <w:vAlign w:val="center"/>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spoločenskoved.</w:t>
            </w:r>
          </w:p>
        </w:tc>
        <w:tc>
          <w:tcPr>
            <w:tcW w:w="736" w:type="dxa"/>
            <w:vAlign w:val="center"/>
          </w:tcPr>
          <w:p w:rsidR="00FF5868" w:rsidRPr="001009D8" w:rsidRDefault="00FF5868" w:rsidP="001009D8">
            <w:pPr>
              <w:pStyle w:val="StylTableNumber"/>
              <w:spacing w:afterAutospacing="0"/>
              <w:rPr>
                <w:rFonts w:ascii="Times New Roman" w:hAnsi="Times New Roman"/>
                <w:sz w:val="20"/>
                <w:lang w:val="sk-SK"/>
              </w:rPr>
            </w:pPr>
            <w:r w:rsidRPr="001009D8">
              <w:rPr>
                <w:rFonts w:ascii="Times New Roman" w:hAnsi="Times New Roman"/>
                <w:sz w:val="20"/>
                <w:lang w:val="sk-SK"/>
              </w:rPr>
              <w:t>47</w:t>
            </w:r>
          </w:p>
        </w:tc>
      </w:tr>
      <w:tr w:rsidR="00FF5868" w:rsidRPr="004E71D5" w:rsidTr="001009D8">
        <w:trPr>
          <w:cantSplit/>
        </w:trPr>
        <w:tc>
          <w:tcPr>
            <w:tcW w:w="429" w:type="dxa"/>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2.</w:t>
            </w:r>
          </w:p>
        </w:tc>
        <w:tc>
          <w:tcPr>
            <w:tcW w:w="1794" w:type="dxa"/>
            <w:vAlign w:val="center"/>
          </w:tcPr>
          <w:p w:rsidR="00FF5868" w:rsidRPr="001009D8" w:rsidRDefault="004E71D5" w:rsidP="001009D8">
            <w:pPr>
              <w:pStyle w:val="StylTableText"/>
              <w:spacing w:afterAutospacing="0"/>
              <w:rPr>
                <w:rFonts w:ascii="Times New Roman" w:hAnsi="Times New Roman"/>
                <w:sz w:val="20"/>
                <w:lang w:val="sk-SK"/>
              </w:rPr>
            </w:pPr>
            <w:r w:rsidRPr="001009D8">
              <w:rPr>
                <w:rFonts w:ascii="Times New Roman" w:hAnsi="Times New Roman"/>
                <w:sz w:val="20"/>
              </w:rPr>
              <w:t>Dámska meštianska móda v 19. storočí</w:t>
            </w:r>
          </w:p>
        </w:tc>
        <w:tc>
          <w:tcPr>
            <w:tcW w:w="1373" w:type="dxa"/>
            <w:vAlign w:val="center"/>
          </w:tcPr>
          <w:p w:rsidR="00FF5868"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rPr>
              <w:t>E. Kerényi</w:t>
            </w:r>
          </w:p>
        </w:tc>
        <w:tc>
          <w:tcPr>
            <w:tcW w:w="1170" w:type="dxa"/>
            <w:vAlign w:val="center"/>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Hrad - Bebekova veža - 4. podlažie</w:t>
            </w:r>
          </w:p>
        </w:tc>
        <w:tc>
          <w:tcPr>
            <w:tcW w:w="1074" w:type="dxa"/>
            <w:vAlign w:val="center"/>
          </w:tcPr>
          <w:p w:rsidR="00FF5868" w:rsidRPr="001009D8" w:rsidRDefault="001009D8" w:rsidP="001009D8">
            <w:pPr>
              <w:pStyle w:val="StylTableText"/>
              <w:spacing w:afterAutospacing="0"/>
              <w:rPr>
                <w:rFonts w:ascii="Times New Roman" w:hAnsi="Times New Roman"/>
                <w:sz w:val="20"/>
                <w:lang w:val="sk-SK"/>
              </w:rPr>
            </w:pPr>
            <w:r w:rsidRPr="00D53DA7">
              <w:t>14. 3. 2014 – 11. 5. 2014</w:t>
            </w:r>
          </w:p>
        </w:tc>
        <w:tc>
          <w:tcPr>
            <w:tcW w:w="1083" w:type="dxa"/>
            <w:vAlign w:val="center"/>
          </w:tcPr>
          <w:p w:rsidR="00FF5868" w:rsidRPr="001009D8" w:rsidRDefault="001009D8" w:rsidP="001009D8">
            <w:pPr>
              <w:pStyle w:val="StylTableText"/>
              <w:spacing w:afterAutospacing="0"/>
              <w:rPr>
                <w:rFonts w:ascii="Times New Roman" w:hAnsi="Times New Roman"/>
                <w:sz w:val="20"/>
                <w:lang w:val="sk-SK"/>
              </w:rPr>
            </w:pPr>
            <w:r>
              <w:rPr>
                <w:rFonts w:ascii="Times New Roman" w:hAnsi="Times New Roman"/>
                <w:sz w:val="20"/>
                <w:lang w:val="sk-SK"/>
              </w:rPr>
              <w:t>prevzatá</w:t>
            </w:r>
          </w:p>
        </w:tc>
        <w:tc>
          <w:tcPr>
            <w:tcW w:w="1469"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s</w:t>
            </w:r>
            <w:r w:rsidR="001009D8">
              <w:rPr>
                <w:rFonts w:ascii="Times New Roman" w:hAnsi="Times New Roman"/>
                <w:sz w:val="20"/>
                <w:lang w:val="sk-SK"/>
              </w:rPr>
              <w:t>poločenskoved.</w:t>
            </w:r>
          </w:p>
        </w:tc>
        <w:tc>
          <w:tcPr>
            <w:tcW w:w="736" w:type="dxa"/>
            <w:vAlign w:val="center"/>
          </w:tcPr>
          <w:p w:rsidR="00FF5868" w:rsidRPr="001009D8" w:rsidRDefault="00FF5868" w:rsidP="001009D8">
            <w:pPr>
              <w:pStyle w:val="StylTableNumber"/>
              <w:spacing w:afterAutospacing="0"/>
              <w:rPr>
                <w:rFonts w:ascii="Times New Roman" w:hAnsi="Times New Roman"/>
                <w:sz w:val="20"/>
                <w:lang w:val="sk-SK"/>
              </w:rPr>
            </w:pPr>
            <w:r w:rsidRPr="001009D8">
              <w:rPr>
                <w:rFonts w:ascii="Times New Roman" w:hAnsi="Times New Roman"/>
                <w:sz w:val="20"/>
                <w:lang w:val="sk-SK"/>
              </w:rPr>
              <w:t>116</w:t>
            </w:r>
          </w:p>
        </w:tc>
      </w:tr>
      <w:tr w:rsidR="00FF5868" w:rsidRPr="004E71D5" w:rsidTr="001009D8">
        <w:trPr>
          <w:cantSplit/>
        </w:trPr>
        <w:tc>
          <w:tcPr>
            <w:tcW w:w="429" w:type="dxa"/>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3.</w:t>
            </w:r>
          </w:p>
        </w:tc>
        <w:tc>
          <w:tcPr>
            <w:tcW w:w="1794" w:type="dxa"/>
            <w:vAlign w:val="center"/>
          </w:tcPr>
          <w:p w:rsidR="00FF5868" w:rsidRPr="001009D8" w:rsidRDefault="004E71D5" w:rsidP="001009D8">
            <w:pPr>
              <w:pStyle w:val="StylTableText"/>
              <w:spacing w:afterAutospacing="0"/>
              <w:rPr>
                <w:rFonts w:ascii="Times New Roman" w:hAnsi="Times New Roman"/>
                <w:sz w:val="20"/>
                <w:lang w:val="sk-SK"/>
              </w:rPr>
            </w:pPr>
            <w:r w:rsidRPr="001009D8">
              <w:rPr>
                <w:rFonts w:ascii="Times New Roman" w:hAnsi="Times New Roman"/>
                <w:sz w:val="20"/>
              </w:rPr>
              <w:t>Ľudové kroje Sedmohradska</w:t>
            </w:r>
          </w:p>
        </w:tc>
        <w:tc>
          <w:tcPr>
            <w:tcW w:w="1373" w:type="dxa"/>
            <w:vAlign w:val="center"/>
          </w:tcPr>
          <w:p w:rsidR="00FF5868"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rPr>
              <w:t>M. Konthur</w:t>
            </w:r>
          </w:p>
        </w:tc>
        <w:tc>
          <w:tcPr>
            <w:tcW w:w="1170" w:type="dxa"/>
            <w:vAlign w:val="center"/>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Hrad - Bebekova veža - 5. podlažie</w:t>
            </w:r>
          </w:p>
        </w:tc>
        <w:tc>
          <w:tcPr>
            <w:tcW w:w="1074" w:type="dxa"/>
            <w:vAlign w:val="center"/>
          </w:tcPr>
          <w:p w:rsidR="00FF5868" w:rsidRPr="001009D8" w:rsidRDefault="001009D8" w:rsidP="001009D8">
            <w:pPr>
              <w:pStyle w:val="StylTableText"/>
              <w:spacing w:afterAutospacing="0"/>
              <w:rPr>
                <w:rFonts w:ascii="Times New Roman" w:hAnsi="Times New Roman"/>
                <w:sz w:val="20"/>
                <w:lang w:val="sk-SK"/>
              </w:rPr>
            </w:pPr>
            <w:r w:rsidRPr="00D53DA7">
              <w:t>14. 3. 2014 – 11. 5. 2014</w:t>
            </w:r>
          </w:p>
        </w:tc>
        <w:tc>
          <w:tcPr>
            <w:tcW w:w="1083"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dovezená</w:t>
            </w:r>
          </w:p>
        </w:tc>
        <w:tc>
          <w:tcPr>
            <w:tcW w:w="1469"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spoločenskoved.</w:t>
            </w:r>
          </w:p>
        </w:tc>
        <w:tc>
          <w:tcPr>
            <w:tcW w:w="736" w:type="dxa"/>
            <w:vAlign w:val="center"/>
          </w:tcPr>
          <w:p w:rsidR="00FF5868" w:rsidRPr="001009D8" w:rsidRDefault="00FF5868" w:rsidP="001009D8">
            <w:pPr>
              <w:pStyle w:val="StylTableNumber"/>
              <w:spacing w:afterAutospacing="0"/>
              <w:rPr>
                <w:rFonts w:ascii="Times New Roman" w:hAnsi="Times New Roman"/>
                <w:sz w:val="20"/>
                <w:lang w:val="sk-SK"/>
              </w:rPr>
            </w:pPr>
            <w:r w:rsidRPr="001009D8">
              <w:rPr>
                <w:rFonts w:ascii="Times New Roman" w:hAnsi="Times New Roman"/>
                <w:sz w:val="20"/>
                <w:lang w:val="sk-SK"/>
              </w:rPr>
              <w:t>116</w:t>
            </w:r>
          </w:p>
        </w:tc>
      </w:tr>
      <w:tr w:rsidR="00FF5868" w:rsidRPr="004E71D5" w:rsidTr="001009D8">
        <w:trPr>
          <w:cantSplit/>
        </w:trPr>
        <w:tc>
          <w:tcPr>
            <w:tcW w:w="429" w:type="dxa"/>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4.</w:t>
            </w:r>
          </w:p>
        </w:tc>
        <w:tc>
          <w:tcPr>
            <w:tcW w:w="1794" w:type="dxa"/>
            <w:vAlign w:val="center"/>
          </w:tcPr>
          <w:p w:rsidR="00FF5868"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rPr>
              <w:t>Ľudia a kroje -  Olejomaľby Gabriela Kuráka</w:t>
            </w:r>
          </w:p>
        </w:tc>
        <w:tc>
          <w:tcPr>
            <w:tcW w:w="1373" w:type="dxa"/>
            <w:vAlign w:val="center"/>
          </w:tcPr>
          <w:p w:rsidR="00FF5868"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rPr>
              <w:t>G. Kurák</w:t>
            </w:r>
          </w:p>
        </w:tc>
        <w:tc>
          <w:tcPr>
            <w:tcW w:w="1170" w:type="dxa"/>
            <w:vAlign w:val="center"/>
          </w:tcPr>
          <w:p w:rsidR="00FF5868" w:rsidRPr="001009D8" w:rsidRDefault="001009D8" w:rsidP="001009D8">
            <w:pPr>
              <w:pStyle w:val="StylTableText"/>
              <w:spacing w:afterAutospacing="0"/>
              <w:rPr>
                <w:rFonts w:ascii="Times New Roman" w:hAnsi="Times New Roman"/>
                <w:sz w:val="20"/>
                <w:lang w:val="sk-SK"/>
              </w:rPr>
            </w:pPr>
            <w:r w:rsidRPr="001009D8">
              <w:rPr>
                <w:rFonts w:ascii="Times New Roman" w:hAnsi="Times New Roman"/>
                <w:sz w:val="20"/>
                <w:lang w:val="sk-SK"/>
              </w:rPr>
              <w:t>galéria Mestského vlastivedného múzea</w:t>
            </w:r>
          </w:p>
        </w:tc>
        <w:tc>
          <w:tcPr>
            <w:tcW w:w="1074" w:type="dxa"/>
            <w:vAlign w:val="center"/>
          </w:tcPr>
          <w:p w:rsidR="00FF5868" w:rsidRPr="001009D8" w:rsidRDefault="003A297C" w:rsidP="001009D8">
            <w:pPr>
              <w:pStyle w:val="StylTableText"/>
              <w:spacing w:afterAutospacing="0"/>
              <w:rPr>
                <w:rFonts w:ascii="Times New Roman" w:hAnsi="Times New Roman"/>
                <w:sz w:val="20"/>
                <w:lang w:val="sk-SK"/>
              </w:rPr>
            </w:pPr>
            <w:r>
              <w:t>4</w:t>
            </w:r>
            <w:r w:rsidRPr="00731778">
              <w:t>. 4. 2014 – 2. 5. 2014</w:t>
            </w:r>
          </w:p>
        </w:tc>
        <w:tc>
          <w:tcPr>
            <w:tcW w:w="1083" w:type="dxa"/>
            <w:vAlign w:val="center"/>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prevzatá</w:t>
            </w:r>
          </w:p>
        </w:tc>
        <w:tc>
          <w:tcPr>
            <w:tcW w:w="1469"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spoločenskoved.</w:t>
            </w:r>
          </w:p>
        </w:tc>
        <w:tc>
          <w:tcPr>
            <w:tcW w:w="736" w:type="dxa"/>
            <w:vAlign w:val="center"/>
          </w:tcPr>
          <w:p w:rsidR="00FF5868" w:rsidRPr="001009D8" w:rsidRDefault="003A297C" w:rsidP="001009D8">
            <w:pPr>
              <w:pStyle w:val="StylTableNumber"/>
              <w:spacing w:afterAutospacing="0"/>
              <w:rPr>
                <w:rFonts w:ascii="Times New Roman" w:hAnsi="Times New Roman"/>
                <w:sz w:val="20"/>
                <w:lang w:val="sk-SK"/>
              </w:rPr>
            </w:pPr>
            <w:r>
              <w:rPr>
                <w:rFonts w:ascii="Times New Roman" w:hAnsi="Times New Roman"/>
                <w:sz w:val="20"/>
                <w:lang w:val="sk-SK"/>
              </w:rPr>
              <w:t>47</w:t>
            </w:r>
          </w:p>
        </w:tc>
      </w:tr>
      <w:tr w:rsidR="00FF5868" w:rsidRPr="004E71D5" w:rsidTr="001009D8">
        <w:trPr>
          <w:cantSplit/>
        </w:trPr>
        <w:tc>
          <w:tcPr>
            <w:tcW w:w="429" w:type="dxa"/>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5.</w:t>
            </w:r>
          </w:p>
        </w:tc>
        <w:tc>
          <w:tcPr>
            <w:tcW w:w="1794" w:type="dxa"/>
            <w:vAlign w:val="center"/>
          </w:tcPr>
          <w:p w:rsidR="00FF5868"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rPr>
              <w:t>Víťazstvá a prehry – Slovenský šport 1993-2012</w:t>
            </w:r>
          </w:p>
        </w:tc>
        <w:tc>
          <w:tcPr>
            <w:tcW w:w="1373" w:type="dxa"/>
            <w:vAlign w:val="center"/>
          </w:tcPr>
          <w:p w:rsidR="00FF5868" w:rsidRPr="001009D8" w:rsidRDefault="006E57DB" w:rsidP="001009D8">
            <w:pPr>
              <w:pStyle w:val="StylTableText"/>
              <w:spacing w:afterAutospacing="0"/>
              <w:rPr>
                <w:rFonts w:ascii="Times New Roman" w:hAnsi="Times New Roman"/>
                <w:sz w:val="20"/>
                <w:lang w:val="sk-SK"/>
              </w:rPr>
            </w:pPr>
            <w:r w:rsidRPr="001009D8">
              <w:rPr>
                <w:rFonts w:ascii="Times New Roman" w:hAnsi="Times New Roman"/>
                <w:sz w:val="20"/>
              </w:rPr>
              <w:t>Z. Letenayová</w:t>
            </w:r>
          </w:p>
        </w:tc>
        <w:tc>
          <w:tcPr>
            <w:tcW w:w="1170" w:type="dxa"/>
            <w:vAlign w:val="center"/>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galéria Mestského vlastivedného múzea</w:t>
            </w:r>
          </w:p>
        </w:tc>
        <w:tc>
          <w:tcPr>
            <w:tcW w:w="1074" w:type="dxa"/>
            <w:vAlign w:val="center"/>
          </w:tcPr>
          <w:p w:rsidR="00FF5868" w:rsidRPr="001009D8" w:rsidRDefault="003A297C" w:rsidP="001009D8">
            <w:pPr>
              <w:pStyle w:val="StylTableText"/>
              <w:spacing w:afterAutospacing="0"/>
              <w:rPr>
                <w:rFonts w:ascii="Times New Roman" w:hAnsi="Times New Roman"/>
                <w:sz w:val="20"/>
                <w:lang w:val="sk-SK"/>
              </w:rPr>
            </w:pPr>
            <w:r w:rsidRPr="00731778">
              <w:t>7. 5. 2014 – 18. 7. 2014</w:t>
            </w:r>
          </w:p>
        </w:tc>
        <w:tc>
          <w:tcPr>
            <w:tcW w:w="1083" w:type="dxa"/>
            <w:vAlign w:val="center"/>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 xml:space="preserve">prevzatá </w:t>
            </w:r>
          </w:p>
        </w:tc>
        <w:tc>
          <w:tcPr>
            <w:tcW w:w="1469"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spoločenskoved.</w:t>
            </w:r>
          </w:p>
        </w:tc>
        <w:tc>
          <w:tcPr>
            <w:tcW w:w="736" w:type="dxa"/>
            <w:vAlign w:val="center"/>
          </w:tcPr>
          <w:p w:rsidR="00FF5868" w:rsidRPr="001009D8" w:rsidRDefault="00FF5868" w:rsidP="001009D8">
            <w:pPr>
              <w:pStyle w:val="StylTableNumber"/>
              <w:spacing w:afterAutospacing="0"/>
              <w:rPr>
                <w:rFonts w:ascii="Times New Roman" w:hAnsi="Times New Roman"/>
                <w:sz w:val="20"/>
                <w:lang w:val="sk-SK"/>
              </w:rPr>
            </w:pPr>
            <w:r w:rsidRPr="001009D8">
              <w:rPr>
                <w:rFonts w:ascii="Times New Roman" w:hAnsi="Times New Roman"/>
                <w:sz w:val="20"/>
                <w:lang w:val="sk-SK"/>
              </w:rPr>
              <w:t>47</w:t>
            </w:r>
          </w:p>
        </w:tc>
      </w:tr>
      <w:tr w:rsidR="00FF5868" w:rsidRPr="004E71D5" w:rsidTr="001009D8">
        <w:trPr>
          <w:cantSplit/>
        </w:trPr>
        <w:tc>
          <w:tcPr>
            <w:tcW w:w="429" w:type="dxa"/>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6.</w:t>
            </w:r>
          </w:p>
        </w:tc>
        <w:tc>
          <w:tcPr>
            <w:tcW w:w="1794" w:type="dxa"/>
            <w:vAlign w:val="center"/>
          </w:tcPr>
          <w:p w:rsidR="00FF5868"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rPr>
              <w:t>Klasici novohradského výtvarného umenia v 20. storočí</w:t>
            </w:r>
          </w:p>
        </w:tc>
        <w:tc>
          <w:tcPr>
            <w:tcW w:w="1373" w:type="dxa"/>
            <w:vAlign w:val="center"/>
          </w:tcPr>
          <w:p w:rsidR="00FF5868" w:rsidRPr="001009D8" w:rsidRDefault="006E57DB" w:rsidP="001009D8">
            <w:pPr>
              <w:pStyle w:val="StylTableText"/>
              <w:spacing w:afterAutospacing="0"/>
              <w:rPr>
                <w:rFonts w:ascii="Times New Roman" w:hAnsi="Times New Roman"/>
                <w:sz w:val="20"/>
                <w:lang w:val="sk-SK"/>
              </w:rPr>
            </w:pPr>
            <w:r w:rsidRPr="001009D8">
              <w:rPr>
                <w:rFonts w:ascii="Times New Roman" w:hAnsi="Times New Roman"/>
                <w:sz w:val="20"/>
              </w:rPr>
              <w:t>Kurátori zbierok NMG a MBD</w:t>
            </w:r>
          </w:p>
        </w:tc>
        <w:tc>
          <w:tcPr>
            <w:tcW w:w="1170" w:type="dxa"/>
            <w:vAlign w:val="center"/>
          </w:tcPr>
          <w:p w:rsidR="00FF5868" w:rsidRPr="001009D8" w:rsidRDefault="003A297C" w:rsidP="001009D8">
            <w:pPr>
              <w:pStyle w:val="StylTableText"/>
              <w:spacing w:afterAutospacing="0"/>
              <w:rPr>
                <w:rFonts w:ascii="Times New Roman" w:hAnsi="Times New Roman"/>
                <w:sz w:val="20"/>
                <w:lang w:val="sk-SK"/>
              </w:rPr>
            </w:pPr>
            <w:r w:rsidRPr="00731778">
              <w:t>Mestské vlastivedné múzeum, Fiľakov</w:t>
            </w:r>
          </w:p>
        </w:tc>
        <w:tc>
          <w:tcPr>
            <w:tcW w:w="1074" w:type="dxa"/>
            <w:vAlign w:val="center"/>
          </w:tcPr>
          <w:p w:rsidR="00FF5868" w:rsidRPr="001009D8" w:rsidRDefault="003A297C" w:rsidP="001009D8">
            <w:pPr>
              <w:pStyle w:val="StylTableText"/>
              <w:spacing w:afterAutospacing="0"/>
              <w:rPr>
                <w:rFonts w:ascii="Times New Roman" w:hAnsi="Times New Roman"/>
                <w:sz w:val="20"/>
                <w:lang w:val="sk-SK"/>
              </w:rPr>
            </w:pPr>
            <w:r w:rsidRPr="00731778">
              <w:t>17. 5. 2014 – 27. 6. 2014</w:t>
            </w:r>
          </w:p>
        </w:tc>
        <w:tc>
          <w:tcPr>
            <w:tcW w:w="1083" w:type="dxa"/>
            <w:vAlign w:val="center"/>
          </w:tcPr>
          <w:p w:rsidR="00FF5868" w:rsidRPr="001009D8" w:rsidRDefault="003A297C" w:rsidP="001009D8">
            <w:pPr>
              <w:pStyle w:val="StylTableText"/>
              <w:spacing w:afterAutospacing="0"/>
              <w:rPr>
                <w:rFonts w:ascii="Times New Roman" w:hAnsi="Times New Roman"/>
                <w:sz w:val="20"/>
                <w:lang w:val="sk-SK"/>
              </w:rPr>
            </w:pPr>
            <w:r w:rsidRPr="001009D8">
              <w:rPr>
                <w:rFonts w:ascii="Times New Roman" w:hAnsi="Times New Roman"/>
                <w:sz w:val="20"/>
                <w:lang w:val="sk-SK"/>
              </w:rPr>
              <w:t>prevzatá</w:t>
            </w:r>
          </w:p>
        </w:tc>
        <w:tc>
          <w:tcPr>
            <w:tcW w:w="1469"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spoločenskoved.</w:t>
            </w:r>
          </w:p>
        </w:tc>
        <w:tc>
          <w:tcPr>
            <w:tcW w:w="736" w:type="dxa"/>
            <w:vAlign w:val="center"/>
          </w:tcPr>
          <w:p w:rsidR="00FF5868" w:rsidRPr="001009D8" w:rsidRDefault="003A297C" w:rsidP="001009D8">
            <w:pPr>
              <w:pStyle w:val="StylTableNumber"/>
              <w:spacing w:afterAutospacing="0"/>
              <w:rPr>
                <w:rFonts w:ascii="Times New Roman" w:hAnsi="Times New Roman"/>
                <w:sz w:val="20"/>
                <w:lang w:val="sk-SK"/>
              </w:rPr>
            </w:pPr>
            <w:r>
              <w:rPr>
                <w:rFonts w:ascii="Times New Roman" w:hAnsi="Times New Roman"/>
                <w:sz w:val="20"/>
                <w:lang w:val="sk-SK"/>
              </w:rPr>
              <w:t>100</w:t>
            </w:r>
          </w:p>
        </w:tc>
      </w:tr>
      <w:tr w:rsidR="00FF5868" w:rsidRPr="004E71D5" w:rsidTr="001009D8">
        <w:trPr>
          <w:cantSplit/>
        </w:trPr>
        <w:tc>
          <w:tcPr>
            <w:tcW w:w="429" w:type="dxa"/>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7.</w:t>
            </w:r>
          </w:p>
        </w:tc>
        <w:tc>
          <w:tcPr>
            <w:tcW w:w="1794" w:type="dxa"/>
            <w:vAlign w:val="center"/>
          </w:tcPr>
          <w:p w:rsidR="00FF5868"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rPr>
              <w:t>Krása kachlíc</w:t>
            </w:r>
          </w:p>
        </w:tc>
        <w:tc>
          <w:tcPr>
            <w:tcW w:w="1373" w:type="dxa"/>
            <w:vAlign w:val="center"/>
          </w:tcPr>
          <w:p w:rsidR="00FF5868" w:rsidRPr="001009D8" w:rsidRDefault="006E57DB" w:rsidP="001009D8">
            <w:pPr>
              <w:pStyle w:val="VykazTabtextvlavo"/>
              <w:rPr>
                <w:rFonts w:ascii="Times New Roman" w:hAnsi="Times New Roman"/>
                <w:noProof/>
                <w:sz w:val="20"/>
              </w:rPr>
            </w:pPr>
            <w:r w:rsidRPr="001009D8">
              <w:rPr>
                <w:rFonts w:ascii="Times New Roman" w:hAnsi="Times New Roman"/>
                <w:noProof/>
                <w:sz w:val="20"/>
              </w:rPr>
              <w:t>M. Kvietok</w:t>
            </w:r>
          </w:p>
        </w:tc>
        <w:tc>
          <w:tcPr>
            <w:tcW w:w="1170" w:type="dxa"/>
            <w:vAlign w:val="center"/>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Hrad - Bebekova veža - 4. podlažie</w:t>
            </w:r>
          </w:p>
        </w:tc>
        <w:tc>
          <w:tcPr>
            <w:tcW w:w="1074" w:type="dxa"/>
            <w:vAlign w:val="center"/>
          </w:tcPr>
          <w:p w:rsidR="00FF5868" w:rsidRPr="001009D8" w:rsidRDefault="003A297C" w:rsidP="001009D8">
            <w:pPr>
              <w:pStyle w:val="StylTableText"/>
              <w:spacing w:afterAutospacing="0"/>
              <w:rPr>
                <w:rFonts w:ascii="Times New Roman" w:hAnsi="Times New Roman"/>
                <w:sz w:val="20"/>
                <w:lang w:val="sk-SK"/>
              </w:rPr>
            </w:pPr>
            <w:r w:rsidRPr="005C78E1">
              <w:t>17. 5. 2014 – 14. 9.</w:t>
            </w:r>
            <w:r>
              <w:t>2014</w:t>
            </w:r>
          </w:p>
        </w:tc>
        <w:tc>
          <w:tcPr>
            <w:tcW w:w="1083" w:type="dxa"/>
            <w:vAlign w:val="center"/>
          </w:tcPr>
          <w:p w:rsidR="00FF5868" w:rsidRPr="001009D8" w:rsidRDefault="003A297C" w:rsidP="001009D8">
            <w:pPr>
              <w:pStyle w:val="StylTableText"/>
              <w:spacing w:afterAutospacing="0"/>
              <w:rPr>
                <w:rFonts w:ascii="Times New Roman" w:hAnsi="Times New Roman"/>
                <w:sz w:val="20"/>
                <w:lang w:val="sk-SK"/>
              </w:rPr>
            </w:pPr>
            <w:r w:rsidRPr="001009D8">
              <w:rPr>
                <w:rFonts w:ascii="Times New Roman" w:hAnsi="Times New Roman"/>
                <w:sz w:val="20"/>
                <w:lang w:val="sk-SK"/>
              </w:rPr>
              <w:t>prevzatá</w:t>
            </w:r>
          </w:p>
        </w:tc>
        <w:tc>
          <w:tcPr>
            <w:tcW w:w="1469"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spoločenskoved.</w:t>
            </w:r>
          </w:p>
        </w:tc>
        <w:tc>
          <w:tcPr>
            <w:tcW w:w="736" w:type="dxa"/>
            <w:vAlign w:val="center"/>
          </w:tcPr>
          <w:p w:rsidR="00FF5868" w:rsidRPr="001009D8" w:rsidRDefault="00FF5868" w:rsidP="001009D8">
            <w:pPr>
              <w:pStyle w:val="StylTableNumber"/>
              <w:spacing w:afterAutospacing="0"/>
              <w:rPr>
                <w:rFonts w:ascii="Times New Roman" w:hAnsi="Times New Roman"/>
                <w:sz w:val="20"/>
                <w:lang w:val="sk-SK"/>
              </w:rPr>
            </w:pPr>
            <w:r w:rsidRPr="001009D8">
              <w:rPr>
                <w:rFonts w:ascii="Times New Roman" w:hAnsi="Times New Roman"/>
                <w:sz w:val="20"/>
                <w:lang w:val="sk-SK"/>
              </w:rPr>
              <w:t>116</w:t>
            </w:r>
          </w:p>
        </w:tc>
      </w:tr>
      <w:tr w:rsidR="00FF5868" w:rsidRPr="004E71D5" w:rsidTr="001009D8">
        <w:trPr>
          <w:cantSplit/>
        </w:trPr>
        <w:tc>
          <w:tcPr>
            <w:tcW w:w="429" w:type="dxa"/>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8.</w:t>
            </w:r>
          </w:p>
        </w:tc>
        <w:tc>
          <w:tcPr>
            <w:tcW w:w="1794" w:type="dxa"/>
            <w:vAlign w:val="center"/>
          </w:tcPr>
          <w:p w:rsidR="00FF5868"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rPr>
              <w:t>Smaltovnícky a sklársky priemysel Novohradu</w:t>
            </w:r>
          </w:p>
        </w:tc>
        <w:tc>
          <w:tcPr>
            <w:tcW w:w="1373" w:type="dxa"/>
            <w:vAlign w:val="center"/>
          </w:tcPr>
          <w:p w:rsidR="00FF5868" w:rsidRPr="001009D8" w:rsidRDefault="006E57DB" w:rsidP="001009D8">
            <w:pPr>
              <w:pStyle w:val="StylTableText"/>
              <w:spacing w:afterAutospacing="0"/>
              <w:rPr>
                <w:rFonts w:ascii="Times New Roman" w:hAnsi="Times New Roman"/>
                <w:sz w:val="20"/>
                <w:lang w:val="sk-SK"/>
              </w:rPr>
            </w:pPr>
            <w:r w:rsidRPr="001009D8">
              <w:rPr>
                <w:rFonts w:ascii="Times New Roman" w:hAnsi="Times New Roman"/>
                <w:sz w:val="20"/>
              </w:rPr>
              <w:t>A. Agócs, G. Illés</w:t>
            </w:r>
          </w:p>
        </w:tc>
        <w:tc>
          <w:tcPr>
            <w:tcW w:w="1170" w:type="dxa"/>
            <w:vAlign w:val="center"/>
          </w:tcPr>
          <w:p w:rsidR="00FF5868" w:rsidRPr="001009D8" w:rsidRDefault="006E57DB" w:rsidP="001009D8">
            <w:pPr>
              <w:pStyle w:val="StylTableText"/>
              <w:spacing w:afterAutospacing="0"/>
              <w:rPr>
                <w:rFonts w:ascii="Times New Roman" w:hAnsi="Times New Roman"/>
                <w:sz w:val="20"/>
                <w:lang w:val="sk-SK"/>
              </w:rPr>
            </w:pPr>
            <w:r w:rsidRPr="001009D8">
              <w:rPr>
                <w:rFonts w:ascii="Times New Roman" w:hAnsi="Times New Roman"/>
                <w:sz w:val="20"/>
              </w:rPr>
              <w:t>Hrad - Bebekova veža - 5. podlažie</w:t>
            </w:r>
          </w:p>
        </w:tc>
        <w:tc>
          <w:tcPr>
            <w:tcW w:w="1074" w:type="dxa"/>
            <w:vAlign w:val="center"/>
          </w:tcPr>
          <w:p w:rsidR="00FF5868" w:rsidRPr="001009D8" w:rsidRDefault="003A297C" w:rsidP="001009D8">
            <w:pPr>
              <w:pStyle w:val="StylTableText"/>
              <w:spacing w:afterAutospacing="0"/>
              <w:rPr>
                <w:rFonts w:ascii="Times New Roman" w:hAnsi="Times New Roman"/>
                <w:sz w:val="20"/>
                <w:lang w:val="sk-SK"/>
              </w:rPr>
            </w:pPr>
            <w:r w:rsidRPr="005C78E1">
              <w:t>17. 5. 2014 – 14. 9.</w:t>
            </w:r>
            <w:r>
              <w:t>2014</w:t>
            </w:r>
          </w:p>
        </w:tc>
        <w:tc>
          <w:tcPr>
            <w:tcW w:w="1083"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vlastná</w:t>
            </w:r>
          </w:p>
        </w:tc>
        <w:tc>
          <w:tcPr>
            <w:tcW w:w="1469"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spoločenskoved.</w:t>
            </w:r>
          </w:p>
        </w:tc>
        <w:tc>
          <w:tcPr>
            <w:tcW w:w="736" w:type="dxa"/>
            <w:vAlign w:val="center"/>
          </w:tcPr>
          <w:p w:rsidR="00FF5868" w:rsidRPr="001009D8" w:rsidRDefault="003A297C" w:rsidP="001009D8">
            <w:pPr>
              <w:pStyle w:val="StylTableNumber"/>
              <w:spacing w:afterAutospacing="0"/>
              <w:rPr>
                <w:rFonts w:ascii="Times New Roman" w:hAnsi="Times New Roman"/>
                <w:sz w:val="20"/>
                <w:lang w:val="sk-SK"/>
              </w:rPr>
            </w:pPr>
            <w:r>
              <w:rPr>
                <w:rFonts w:ascii="Times New Roman" w:hAnsi="Times New Roman"/>
                <w:sz w:val="20"/>
                <w:lang w:val="sk-SK"/>
              </w:rPr>
              <w:t>116</w:t>
            </w:r>
          </w:p>
        </w:tc>
      </w:tr>
      <w:tr w:rsidR="00FF5868" w:rsidRPr="004E71D5" w:rsidTr="001009D8">
        <w:trPr>
          <w:cantSplit/>
        </w:trPr>
        <w:tc>
          <w:tcPr>
            <w:tcW w:w="429" w:type="dxa"/>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9.</w:t>
            </w:r>
          </w:p>
        </w:tc>
        <w:tc>
          <w:tcPr>
            <w:tcW w:w="1794" w:type="dxa"/>
            <w:vAlign w:val="center"/>
          </w:tcPr>
          <w:p w:rsidR="00FF5868"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rPr>
              <w:t>Mojimi očami - Fotografická výstava M. Mesiarika</w:t>
            </w:r>
          </w:p>
        </w:tc>
        <w:tc>
          <w:tcPr>
            <w:tcW w:w="1373" w:type="dxa"/>
            <w:vAlign w:val="center"/>
          </w:tcPr>
          <w:p w:rsidR="00FF5868" w:rsidRPr="001009D8" w:rsidRDefault="006E57DB" w:rsidP="001009D8">
            <w:pPr>
              <w:pStyle w:val="StylTableText"/>
              <w:spacing w:afterAutospacing="0"/>
              <w:rPr>
                <w:rFonts w:ascii="Times New Roman" w:hAnsi="Times New Roman"/>
                <w:sz w:val="20"/>
                <w:lang w:val="sk-SK"/>
              </w:rPr>
            </w:pPr>
            <w:r w:rsidRPr="001009D8">
              <w:rPr>
                <w:rFonts w:ascii="Times New Roman" w:hAnsi="Times New Roman"/>
                <w:sz w:val="20"/>
              </w:rPr>
              <w:t>M. Mesiarik</w:t>
            </w:r>
          </w:p>
        </w:tc>
        <w:tc>
          <w:tcPr>
            <w:tcW w:w="1170" w:type="dxa"/>
            <w:vAlign w:val="center"/>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galéria Mestského vlastivedného múzea</w:t>
            </w:r>
          </w:p>
        </w:tc>
        <w:tc>
          <w:tcPr>
            <w:tcW w:w="1074" w:type="dxa"/>
            <w:vAlign w:val="center"/>
          </w:tcPr>
          <w:p w:rsidR="00FF5868" w:rsidRPr="001009D8" w:rsidRDefault="003A297C" w:rsidP="001009D8">
            <w:pPr>
              <w:pStyle w:val="StylTableText"/>
              <w:spacing w:afterAutospacing="0"/>
              <w:rPr>
                <w:rFonts w:ascii="Times New Roman" w:hAnsi="Times New Roman"/>
                <w:sz w:val="20"/>
                <w:lang w:val="sk-SK"/>
              </w:rPr>
            </w:pPr>
            <w:r w:rsidRPr="005C78E1">
              <w:t xml:space="preserve">25. 7. 2014 – </w:t>
            </w:r>
            <w:r>
              <w:t>24. 10</w:t>
            </w:r>
            <w:r w:rsidRPr="005C78E1">
              <w:t>. 2014</w:t>
            </w:r>
          </w:p>
        </w:tc>
        <w:tc>
          <w:tcPr>
            <w:tcW w:w="1083"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vlastná</w:t>
            </w:r>
          </w:p>
        </w:tc>
        <w:tc>
          <w:tcPr>
            <w:tcW w:w="1469"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spoločenskoved.</w:t>
            </w:r>
          </w:p>
        </w:tc>
        <w:tc>
          <w:tcPr>
            <w:tcW w:w="736" w:type="dxa"/>
            <w:vAlign w:val="center"/>
          </w:tcPr>
          <w:p w:rsidR="00FF5868" w:rsidRPr="001009D8" w:rsidRDefault="00FF5868" w:rsidP="001009D8">
            <w:pPr>
              <w:pStyle w:val="StylTableNumber"/>
              <w:spacing w:afterAutospacing="0"/>
              <w:rPr>
                <w:rFonts w:ascii="Times New Roman" w:hAnsi="Times New Roman"/>
                <w:sz w:val="20"/>
                <w:lang w:val="sk-SK"/>
              </w:rPr>
            </w:pPr>
            <w:r w:rsidRPr="001009D8">
              <w:rPr>
                <w:rFonts w:ascii="Times New Roman" w:hAnsi="Times New Roman"/>
                <w:sz w:val="20"/>
                <w:lang w:val="sk-SK"/>
              </w:rPr>
              <w:t>47</w:t>
            </w:r>
          </w:p>
        </w:tc>
      </w:tr>
      <w:tr w:rsidR="00FF5868" w:rsidRPr="004E71D5" w:rsidTr="001009D8">
        <w:trPr>
          <w:cantSplit/>
        </w:trPr>
        <w:tc>
          <w:tcPr>
            <w:tcW w:w="429" w:type="dxa"/>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10.</w:t>
            </w:r>
          </w:p>
        </w:tc>
        <w:tc>
          <w:tcPr>
            <w:tcW w:w="1794" w:type="dxa"/>
            <w:vAlign w:val="center"/>
          </w:tcPr>
          <w:p w:rsidR="00FF5868"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rPr>
              <w:t>Miniatúrne dejiny – Cínoví vojaci od staroveku po II. svetovú vojnu</w:t>
            </w:r>
          </w:p>
        </w:tc>
        <w:tc>
          <w:tcPr>
            <w:tcW w:w="1373" w:type="dxa"/>
            <w:vAlign w:val="center"/>
          </w:tcPr>
          <w:p w:rsidR="00FF5868" w:rsidRPr="001009D8" w:rsidRDefault="006E57DB" w:rsidP="001009D8">
            <w:pPr>
              <w:pStyle w:val="StylTableText"/>
              <w:spacing w:afterAutospacing="0"/>
              <w:rPr>
                <w:rFonts w:ascii="Times New Roman" w:hAnsi="Times New Roman"/>
                <w:sz w:val="20"/>
                <w:lang w:val="sk-SK"/>
              </w:rPr>
            </w:pPr>
            <w:r w:rsidRPr="001009D8">
              <w:rPr>
                <w:rFonts w:ascii="Times New Roman" w:hAnsi="Times New Roman"/>
                <w:sz w:val="20"/>
              </w:rPr>
              <w:t>J. Zsember</w:t>
            </w:r>
          </w:p>
        </w:tc>
        <w:tc>
          <w:tcPr>
            <w:tcW w:w="1170" w:type="dxa"/>
            <w:vAlign w:val="center"/>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Hrad - Bebekova veža - 4. podlažie</w:t>
            </w:r>
          </w:p>
        </w:tc>
        <w:tc>
          <w:tcPr>
            <w:tcW w:w="1074" w:type="dxa"/>
            <w:vAlign w:val="center"/>
          </w:tcPr>
          <w:p w:rsidR="00FF5868" w:rsidRPr="001009D8" w:rsidRDefault="003A297C" w:rsidP="001009D8">
            <w:pPr>
              <w:pStyle w:val="StylTableText"/>
              <w:spacing w:afterAutospacing="0"/>
              <w:rPr>
                <w:rFonts w:ascii="Times New Roman" w:hAnsi="Times New Roman"/>
                <w:sz w:val="20"/>
                <w:lang w:val="sk-SK"/>
              </w:rPr>
            </w:pPr>
            <w:r w:rsidRPr="00B07746">
              <w:t>19. 09. 2014 – 15. 11. 2014</w:t>
            </w:r>
          </w:p>
        </w:tc>
        <w:tc>
          <w:tcPr>
            <w:tcW w:w="1083"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dovezená</w:t>
            </w:r>
          </w:p>
        </w:tc>
        <w:tc>
          <w:tcPr>
            <w:tcW w:w="1469"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spoločenskoved.</w:t>
            </w:r>
          </w:p>
        </w:tc>
        <w:tc>
          <w:tcPr>
            <w:tcW w:w="736" w:type="dxa"/>
            <w:vAlign w:val="center"/>
          </w:tcPr>
          <w:p w:rsidR="00FF5868" w:rsidRPr="001009D8" w:rsidRDefault="00FF5868" w:rsidP="001009D8">
            <w:pPr>
              <w:pStyle w:val="StylTableNumber"/>
              <w:spacing w:afterAutospacing="0"/>
              <w:rPr>
                <w:rFonts w:ascii="Times New Roman" w:hAnsi="Times New Roman"/>
                <w:sz w:val="20"/>
                <w:lang w:val="sk-SK"/>
              </w:rPr>
            </w:pPr>
            <w:r w:rsidRPr="001009D8">
              <w:rPr>
                <w:rFonts w:ascii="Times New Roman" w:hAnsi="Times New Roman"/>
                <w:sz w:val="20"/>
                <w:lang w:val="sk-SK"/>
              </w:rPr>
              <w:t>116</w:t>
            </w:r>
          </w:p>
        </w:tc>
      </w:tr>
      <w:tr w:rsidR="00FF5868" w:rsidRPr="004E71D5" w:rsidTr="001009D8">
        <w:trPr>
          <w:cantSplit/>
        </w:trPr>
        <w:tc>
          <w:tcPr>
            <w:tcW w:w="429" w:type="dxa"/>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11.</w:t>
            </w:r>
          </w:p>
        </w:tc>
        <w:tc>
          <w:tcPr>
            <w:tcW w:w="1794" w:type="dxa"/>
            <w:vAlign w:val="center"/>
          </w:tcPr>
          <w:p w:rsidR="00FF5868"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rPr>
              <w:t>Vayszada + 8 – Fiľakovo a Lučenec na fotografiách po 50 rokoch</w:t>
            </w:r>
          </w:p>
        </w:tc>
        <w:tc>
          <w:tcPr>
            <w:tcW w:w="1373" w:type="dxa"/>
            <w:vAlign w:val="center"/>
          </w:tcPr>
          <w:p w:rsidR="00FF5868" w:rsidRPr="001009D8" w:rsidRDefault="006E57DB" w:rsidP="001009D8">
            <w:pPr>
              <w:pStyle w:val="StylTableText"/>
              <w:spacing w:afterAutospacing="0"/>
              <w:rPr>
                <w:rFonts w:ascii="Times New Roman" w:hAnsi="Times New Roman"/>
                <w:sz w:val="20"/>
                <w:lang w:val="sk-SK"/>
              </w:rPr>
            </w:pPr>
            <w:r w:rsidRPr="001009D8">
              <w:rPr>
                <w:rFonts w:ascii="Times New Roman" w:hAnsi="Times New Roman"/>
                <w:sz w:val="20"/>
              </w:rPr>
              <w:t>HMF</w:t>
            </w:r>
          </w:p>
        </w:tc>
        <w:tc>
          <w:tcPr>
            <w:tcW w:w="1170" w:type="dxa"/>
            <w:vAlign w:val="center"/>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Hrad - Bebekova veža - 5. podlažie</w:t>
            </w:r>
          </w:p>
        </w:tc>
        <w:tc>
          <w:tcPr>
            <w:tcW w:w="1074" w:type="dxa"/>
            <w:vAlign w:val="center"/>
          </w:tcPr>
          <w:p w:rsidR="00FF5868" w:rsidRPr="001009D8" w:rsidRDefault="003A297C" w:rsidP="001009D8">
            <w:pPr>
              <w:pStyle w:val="StylTableText"/>
              <w:spacing w:afterAutospacing="0"/>
              <w:rPr>
                <w:rFonts w:ascii="Times New Roman" w:hAnsi="Times New Roman"/>
                <w:sz w:val="20"/>
                <w:lang w:val="sk-SK"/>
              </w:rPr>
            </w:pPr>
            <w:r w:rsidRPr="00B07746">
              <w:t>19. 09. 2014 – 15. 11. 2014</w:t>
            </w:r>
          </w:p>
        </w:tc>
        <w:tc>
          <w:tcPr>
            <w:tcW w:w="1083" w:type="dxa"/>
            <w:vAlign w:val="center"/>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vlastná</w:t>
            </w:r>
          </w:p>
        </w:tc>
        <w:tc>
          <w:tcPr>
            <w:tcW w:w="1469"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spoločenskoved.</w:t>
            </w:r>
          </w:p>
        </w:tc>
        <w:tc>
          <w:tcPr>
            <w:tcW w:w="736" w:type="dxa"/>
            <w:vAlign w:val="center"/>
          </w:tcPr>
          <w:p w:rsidR="00FF5868" w:rsidRPr="001009D8" w:rsidRDefault="00FF5868" w:rsidP="001009D8">
            <w:pPr>
              <w:pStyle w:val="StylTableNumber"/>
              <w:spacing w:afterAutospacing="0"/>
              <w:rPr>
                <w:rFonts w:ascii="Times New Roman" w:hAnsi="Times New Roman"/>
                <w:sz w:val="20"/>
                <w:lang w:val="sk-SK"/>
              </w:rPr>
            </w:pPr>
            <w:r w:rsidRPr="001009D8">
              <w:rPr>
                <w:rFonts w:ascii="Times New Roman" w:hAnsi="Times New Roman"/>
                <w:sz w:val="20"/>
                <w:lang w:val="sk-SK"/>
              </w:rPr>
              <w:t>116</w:t>
            </w:r>
          </w:p>
        </w:tc>
      </w:tr>
      <w:tr w:rsidR="00FF5868" w:rsidRPr="004E71D5" w:rsidTr="001009D8">
        <w:trPr>
          <w:cantSplit/>
        </w:trPr>
        <w:tc>
          <w:tcPr>
            <w:tcW w:w="429" w:type="dxa"/>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12.</w:t>
            </w:r>
          </w:p>
        </w:tc>
        <w:tc>
          <w:tcPr>
            <w:tcW w:w="1794" w:type="dxa"/>
            <w:vAlign w:val="center"/>
          </w:tcPr>
          <w:p w:rsidR="00FF5868"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rPr>
              <w:t>Medzi oblakmi – fiľakovské letisko slávnej pamät</w:t>
            </w:r>
          </w:p>
        </w:tc>
        <w:tc>
          <w:tcPr>
            <w:tcW w:w="1373" w:type="dxa"/>
            <w:vAlign w:val="center"/>
          </w:tcPr>
          <w:p w:rsidR="00FF5868" w:rsidRPr="001009D8" w:rsidRDefault="006E57DB" w:rsidP="001009D8">
            <w:pPr>
              <w:pStyle w:val="StylTableText"/>
              <w:spacing w:afterAutospacing="0"/>
              <w:rPr>
                <w:rFonts w:ascii="Times New Roman" w:hAnsi="Times New Roman"/>
                <w:sz w:val="20"/>
                <w:lang w:val="sk-SK"/>
              </w:rPr>
            </w:pPr>
            <w:r w:rsidRPr="001009D8">
              <w:rPr>
                <w:rFonts w:ascii="Times New Roman" w:hAnsi="Times New Roman"/>
                <w:sz w:val="20"/>
              </w:rPr>
              <w:t>HMF</w:t>
            </w:r>
          </w:p>
        </w:tc>
        <w:tc>
          <w:tcPr>
            <w:tcW w:w="1170" w:type="dxa"/>
            <w:vAlign w:val="center"/>
          </w:tcPr>
          <w:p w:rsidR="00FF5868" w:rsidRPr="001009D8" w:rsidRDefault="003A297C" w:rsidP="001009D8">
            <w:pPr>
              <w:pStyle w:val="StylTableText"/>
              <w:spacing w:afterAutospacing="0"/>
              <w:rPr>
                <w:rFonts w:ascii="Times New Roman" w:hAnsi="Times New Roman"/>
                <w:sz w:val="20"/>
                <w:lang w:val="sk-SK"/>
              </w:rPr>
            </w:pPr>
            <w:r w:rsidRPr="001009D8">
              <w:rPr>
                <w:rFonts w:ascii="Times New Roman" w:hAnsi="Times New Roman"/>
                <w:sz w:val="20"/>
                <w:lang w:val="sk-SK"/>
              </w:rPr>
              <w:t>galéria Mestského vlastivedného múzea</w:t>
            </w:r>
          </w:p>
        </w:tc>
        <w:tc>
          <w:tcPr>
            <w:tcW w:w="1074" w:type="dxa"/>
            <w:vAlign w:val="center"/>
          </w:tcPr>
          <w:p w:rsidR="00FF5868" w:rsidRPr="001009D8" w:rsidRDefault="003A297C" w:rsidP="001009D8">
            <w:pPr>
              <w:pStyle w:val="StylTableText"/>
              <w:spacing w:afterAutospacing="0"/>
              <w:rPr>
                <w:rFonts w:ascii="Times New Roman" w:hAnsi="Times New Roman"/>
                <w:sz w:val="20"/>
                <w:lang w:val="sk-SK"/>
              </w:rPr>
            </w:pPr>
            <w:r w:rsidRPr="00B07746">
              <w:t>29. 10. 2014 – 03. 12. 2014</w:t>
            </w:r>
          </w:p>
        </w:tc>
        <w:tc>
          <w:tcPr>
            <w:tcW w:w="1083"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vlastná</w:t>
            </w:r>
          </w:p>
        </w:tc>
        <w:tc>
          <w:tcPr>
            <w:tcW w:w="1469"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spoločenskoved.</w:t>
            </w:r>
          </w:p>
        </w:tc>
        <w:tc>
          <w:tcPr>
            <w:tcW w:w="736" w:type="dxa"/>
            <w:vAlign w:val="center"/>
          </w:tcPr>
          <w:p w:rsidR="00FF5868" w:rsidRPr="001009D8" w:rsidRDefault="003A297C" w:rsidP="001009D8">
            <w:pPr>
              <w:pStyle w:val="StylTableNumber"/>
              <w:spacing w:afterAutospacing="0"/>
              <w:rPr>
                <w:rFonts w:ascii="Times New Roman" w:hAnsi="Times New Roman"/>
                <w:sz w:val="20"/>
                <w:lang w:val="sk-SK"/>
              </w:rPr>
            </w:pPr>
            <w:r>
              <w:rPr>
                <w:rFonts w:ascii="Times New Roman" w:hAnsi="Times New Roman"/>
                <w:sz w:val="20"/>
                <w:lang w:val="sk-SK"/>
              </w:rPr>
              <w:t>47</w:t>
            </w:r>
          </w:p>
        </w:tc>
      </w:tr>
      <w:tr w:rsidR="00FF5868" w:rsidRPr="004E71D5" w:rsidTr="001009D8">
        <w:trPr>
          <w:cantSplit/>
        </w:trPr>
        <w:tc>
          <w:tcPr>
            <w:tcW w:w="429" w:type="dxa"/>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13.</w:t>
            </w:r>
          </w:p>
        </w:tc>
        <w:tc>
          <w:tcPr>
            <w:tcW w:w="1794" w:type="dxa"/>
            <w:vAlign w:val="center"/>
          </w:tcPr>
          <w:p w:rsidR="00FF5868"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rPr>
              <w:t>Mojim národom – Príbehy z veľkej vojny</w:t>
            </w:r>
          </w:p>
        </w:tc>
        <w:tc>
          <w:tcPr>
            <w:tcW w:w="1373" w:type="dxa"/>
            <w:vAlign w:val="center"/>
          </w:tcPr>
          <w:p w:rsidR="00FF5868" w:rsidRPr="001009D8" w:rsidRDefault="006E57DB" w:rsidP="001009D8">
            <w:pPr>
              <w:pStyle w:val="StylTableText"/>
              <w:spacing w:afterAutospacing="0"/>
              <w:rPr>
                <w:rFonts w:ascii="Times New Roman" w:hAnsi="Times New Roman"/>
                <w:sz w:val="20"/>
                <w:lang w:val="sk-SK"/>
              </w:rPr>
            </w:pPr>
            <w:r w:rsidRPr="001009D8">
              <w:rPr>
                <w:rFonts w:ascii="Times New Roman" w:hAnsi="Times New Roman"/>
                <w:sz w:val="20"/>
              </w:rPr>
              <w:t>Kurátori zbierok SNM</w:t>
            </w:r>
          </w:p>
        </w:tc>
        <w:tc>
          <w:tcPr>
            <w:tcW w:w="1170" w:type="dxa"/>
            <w:vAlign w:val="center"/>
          </w:tcPr>
          <w:p w:rsidR="00FF5868" w:rsidRPr="001009D8" w:rsidRDefault="00FF5868" w:rsidP="001009D8">
            <w:pPr>
              <w:pStyle w:val="StylTableText"/>
              <w:spacing w:afterAutospacing="0"/>
              <w:rPr>
                <w:rFonts w:ascii="Times New Roman" w:hAnsi="Times New Roman"/>
                <w:sz w:val="20"/>
                <w:lang w:val="sk-SK"/>
              </w:rPr>
            </w:pPr>
            <w:r w:rsidRPr="001009D8">
              <w:rPr>
                <w:rFonts w:ascii="Times New Roman" w:hAnsi="Times New Roman"/>
                <w:sz w:val="20"/>
                <w:lang w:val="sk-SK"/>
              </w:rPr>
              <w:t>galéria Mestského vlastivedného múzea</w:t>
            </w:r>
          </w:p>
        </w:tc>
        <w:tc>
          <w:tcPr>
            <w:tcW w:w="1074" w:type="dxa"/>
            <w:vAlign w:val="center"/>
          </w:tcPr>
          <w:p w:rsidR="00FF5868" w:rsidRPr="001009D8" w:rsidRDefault="003A297C" w:rsidP="001009D8">
            <w:pPr>
              <w:pStyle w:val="StylTableText"/>
              <w:spacing w:afterAutospacing="0"/>
              <w:rPr>
                <w:rFonts w:ascii="Times New Roman" w:hAnsi="Times New Roman"/>
                <w:sz w:val="20"/>
                <w:lang w:val="sk-SK"/>
              </w:rPr>
            </w:pPr>
            <w:r w:rsidRPr="002640BE">
              <w:t>10. 12. 2014 – 28. 2. 2015</w:t>
            </w:r>
          </w:p>
        </w:tc>
        <w:tc>
          <w:tcPr>
            <w:tcW w:w="1083"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prevzatá</w:t>
            </w:r>
          </w:p>
        </w:tc>
        <w:tc>
          <w:tcPr>
            <w:tcW w:w="1469" w:type="dxa"/>
            <w:vAlign w:val="center"/>
          </w:tcPr>
          <w:p w:rsidR="00FF5868"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spoločenskoved.</w:t>
            </w:r>
          </w:p>
        </w:tc>
        <w:tc>
          <w:tcPr>
            <w:tcW w:w="736" w:type="dxa"/>
            <w:vAlign w:val="center"/>
          </w:tcPr>
          <w:p w:rsidR="00FF5868" w:rsidRPr="001009D8" w:rsidRDefault="00FF5868" w:rsidP="001009D8">
            <w:pPr>
              <w:pStyle w:val="StylTableNumber"/>
              <w:spacing w:afterAutospacing="0"/>
              <w:rPr>
                <w:rFonts w:ascii="Times New Roman" w:hAnsi="Times New Roman"/>
                <w:sz w:val="20"/>
                <w:lang w:val="sk-SK"/>
              </w:rPr>
            </w:pPr>
            <w:r w:rsidRPr="001009D8">
              <w:rPr>
                <w:rFonts w:ascii="Times New Roman" w:hAnsi="Times New Roman"/>
                <w:sz w:val="20"/>
                <w:lang w:val="sk-SK"/>
              </w:rPr>
              <w:t>47</w:t>
            </w:r>
          </w:p>
        </w:tc>
      </w:tr>
      <w:tr w:rsidR="00970B7A" w:rsidRPr="004E71D5" w:rsidTr="001009D8">
        <w:trPr>
          <w:cantSplit/>
        </w:trPr>
        <w:tc>
          <w:tcPr>
            <w:tcW w:w="429" w:type="dxa"/>
          </w:tcPr>
          <w:p w:rsidR="00970B7A"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lang w:val="sk-SK"/>
              </w:rPr>
              <w:t>14.</w:t>
            </w:r>
          </w:p>
        </w:tc>
        <w:tc>
          <w:tcPr>
            <w:tcW w:w="1794" w:type="dxa"/>
            <w:vAlign w:val="center"/>
          </w:tcPr>
          <w:p w:rsidR="00970B7A" w:rsidRPr="001009D8" w:rsidRDefault="00970B7A" w:rsidP="001009D8">
            <w:pPr>
              <w:pStyle w:val="StylTableText"/>
              <w:spacing w:afterAutospacing="0"/>
              <w:rPr>
                <w:rFonts w:ascii="Times New Roman" w:hAnsi="Times New Roman"/>
                <w:sz w:val="20"/>
              </w:rPr>
            </w:pPr>
            <w:r w:rsidRPr="001009D8">
              <w:rPr>
                <w:rFonts w:ascii="Times New Roman" w:hAnsi="Times New Roman"/>
                <w:sz w:val="20"/>
                <w:lang w:val="sk-SK"/>
              </w:rPr>
              <w:t>Predstavuje sa Hradné múzeum vo Fiľakove</w:t>
            </w:r>
          </w:p>
        </w:tc>
        <w:tc>
          <w:tcPr>
            <w:tcW w:w="1373" w:type="dxa"/>
            <w:vAlign w:val="center"/>
          </w:tcPr>
          <w:p w:rsidR="00970B7A" w:rsidRPr="001009D8" w:rsidRDefault="006E57DB" w:rsidP="001009D8">
            <w:pPr>
              <w:pStyle w:val="StylTableText"/>
              <w:spacing w:afterAutospacing="0"/>
              <w:rPr>
                <w:rFonts w:ascii="Times New Roman" w:hAnsi="Times New Roman"/>
                <w:sz w:val="20"/>
                <w:lang w:val="sk-SK"/>
              </w:rPr>
            </w:pPr>
            <w:r w:rsidRPr="001009D8">
              <w:rPr>
                <w:rFonts w:ascii="Times New Roman" w:hAnsi="Times New Roman"/>
                <w:sz w:val="20"/>
              </w:rPr>
              <w:t>HMF</w:t>
            </w:r>
          </w:p>
        </w:tc>
        <w:tc>
          <w:tcPr>
            <w:tcW w:w="1170" w:type="dxa"/>
            <w:vAlign w:val="center"/>
          </w:tcPr>
          <w:p w:rsidR="00970B7A"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lang w:val="sk-SK"/>
              </w:rPr>
              <w:t>Tekovské múzeum v Leviciach</w:t>
            </w:r>
          </w:p>
        </w:tc>
        <w:tc>
          <w:tcPr>
            <w:tcW w:w="1074" w:type="dxa"/>
            <w:vAlign w:val="center"/>
          </w:tcPr>
          <w:p w:rsidR="00970B7A"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w:t>
            </w:r>
          </w:p>
        </w:tc>
        <w:tc>
          <w:tcPr>
            <w:tcW w:w="1083" w:type="dxa"/>
            <w:vAlign w:val="center"/>
          </w:tcPr>
          <w:p w:rsidR="00970B7A"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vlastná</w:t>
            </w:r>
          </w:p>
        </w:tc>
        <w:tc>
          <w:tcPr>
            <w:tcW w:w="1469" w:type="dxa"/>
            <w:vAlign w:val="center"/>
          </w:tcPr>
          <w:p w:rsidR="00970B7A"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spoločenskoved.</w:t>
            </w:r>
          </w:p>
        </w:tc>
        <w:tc>
          <w:tcPr>
            <w:tcW w:w="736" w:type="dxa"/>
            <w:vAlign w:val="center"/>
          </w:tcPr>
          <w:p w:rsidR="00970B7A" w:rsidRPr="001009D8" w:rsidRDefault="003A297C" w:rsidP="001009D8">
            <w:pPr>
              <w:pStyle w:val="StylTableNumber"/>
              <w:spacing w:afterAutospacing="0"/>
              <w:rPr>
                <w:rFonts w:ascii="Times New Roman" w:hAnsi="Times New Roman"/>
                <w:sz w:val="20"/>
                <w:lang w:val="sk-SK"/>
              </w:rPr>
            </w:pPr>
            <w:r>
              <w:rPr>
                <w:rFonts w:ascii="Times New Roman" w:hAnsi="Times New Roman"/>
                <w:sz w:val="20"/>
                <w:lang w:val="sk-SK"/>
              </w:rPr>
              <w:t>-</w:t>
            </w:r>
          </w:p>
        </w:tc>
      </w:tr>
      <w:tr w:rsidR="00970B7A" w:rsidRPr="004E71D5" w:rsidTr="001009D8">
        <w:trPr>
          <w:cantSplit/>
        </w:trPr>
        <w:tc>
          <w:tcPr>
            <w:tcW w:w="429" w:type="dxa"/>
          </w:tcPr>
          <w:p w:rsidR="00970B7A"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lang w:val="sk-SK"/>
              </w:rPr>
              <w:lastRenderedPageBreak/>
              <w:t>15.</w:t>
            </w:r>
          </w:p>
        </w:tc>
        <w:tc>
          <w:tcPr>
            <w:tcW w:w="1794" w:type="dxa"/>
            <w:vAlign w:val="center"/>
          </w:tcPr>
          <w:p w:rsidR="00970B7A"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lang w:val="sk-SK"/>
              </w:rPr>
              <w:t>Bronzová doba na území historického Novohradu a Gemera-Malohontu</w:t>
            </w:r>
          </w:p>
        </w:tc>
        <w:tc>
          <w:tcPr>
            <w:tcW w:w="1373" w:type="dxa"/>
            <w:vAlign w:val="center"/>
          </w:tcPr>
          <w:p w:rsidR="00970B7A"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lang w:val="sk-SK"/>
              </w:rPr>
              <w:t>Václav Furmánek, Dana Marková, Viktória Tittonová</w:t>
            </w:r>
          </w:p>
        </w:tc>
        <w:tc>
          <w:tcPr>
            <w:tcW w:w="1170" w:type="dxa"/>
            <w:vAlign w:val="center"/>
          </w:tcPr>
          <w:p w:rsidR="00970B7A" w:rsidRPr="001009D8" w:rsidRDefault="00970B7A" w:rsidP="001009D8">
            <w:pPr>
              <w:pStyle w:val="StylTableText"/>
              <w:spacing w:afterAutospacing="0"/>
              <w:rPr>
                <w:rFonts w:ascii="Times New Roman" w:hAnsi="Times New Roman"/>
                <w:sz w:val="20"/>
                <w:lang w:val="sk-SK"/>
              </w:rPr>
            </w:pPr>
            <w:r w:rsidRPr="001009D8">
              <w:rPr>
                <w:rFonts w:ascii="Times New Roman" w:hAnsi="Times New Roman"/>
                <w:sz w:val="20"/>
                <w:lang w:val="sk-SK"/>
              </w:rPr>
              <w:t>Gemersko-malohontské múzeum v Rimavskej Sobote, Banícke múzeum v Rožňave</w:t>
            </w:r>
          </w:p>
        </w:tc>
        <w:tc>
          <w:tcPr>
            <w:tcW w:w="1074" w:type="dxa"/>
            <w:vAlign w:val="center"/>
          </w:tcPr>
          <w:p w:rsidR="00970B7A"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w:t>
            </w:r>
          </w:p>
        </w:tc>
        <w:tc>
          <w:tcPr>
            <w:tcW w:w="1083" w:type="dxa"/>
            <w:vAlign w:val="center"/>
          </w:tcPr>
          <w:p w:rsidR="00970B7A"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repríza</w:t>
            </w:r>
          </w:p>
        </w:tc>
        <w:tc>
          <w:tcPr>
            <w:tcW w:w="1469" w:type="dxa"/>
            <w:vAlign w:val="center"/>
          </w:tcPr>
          <w:p w:rsidR="00970B7A" w:rsidRPr="001009D8" w:rsidRDefault="003A297C" w:rsidP="001009D8">
            <w:pPr>
              <w:pStyle w:val="StylTableText"/>
              <w:spacing w:afterAutospacing="0"/>
              <w:rPr>
                <w:rFonts w:ascii="Times New Roman" w:hAnsi="Times New Roman"/>
                <w:sz w:val="20"/>
                <w:lang w:val="sk-SK"/>
              </w:rPr>
            </w:pPr>
            <w:r>
              <w:rPr>
                <w:rFonts w:ascii="Times New Roman" w:hAnsi="Times New Roman"/>
                <w:sz w:val="20"/>
                <w:lang w:val="sk-SK"/>
              </w:rPr>
              <w:t>spoločenskoved.</w:t>
            </w:r>
          </w:p>
        </w:tc>
        <w:tc>
          <w:tcPr>
            <w:tcW w:w="736" w:type="dxa"/>
            <w:vAlign w:val="center"/>
          </w:tcPr>
          <w:p w:rsidR="00970B7A" w:rsidRPr="001009D8" w:rsidRDefault="003A297C" w:rsidP="001009D8">
            <w:pPr>
              <w:pStyle w:val="StylTableNumber"/>
              <w:spacing w:afterAutospacing="0"/>
              <w:rPr>
                <w:rFonts w:ascii="Times New Roman" w:hAnsi="Times New Roman"/>
                <w:sz w:val="20"/>
                <w:lang w:val="sk-SK"/>
              </w:rPr>
            </w:pPr>
            <w:r>
              <w:rPr>
                <w:rFonts w:ascii="Times New Roman" w:hAnsi="Times New Roman"/>
                <w:sz w:val="20"/>
                <w:lang w:val="sk-SK"/>
              </w:rPr>
              <w:t>-</w:t>
            </w:r>
          </w:p>
        </w:tc>
      </w:tr>
      <w:tr w:rsidR="00FF5868" w:rsidRPr="004E71D5" w:rsidTr="0016092C">
        <w:trPr>
          <w:cantSplit/>
        </w:trPr>
        <w:tc>
          <w:tcPr>
            <w:tcW w:w="9128" w:type="dxa"/>
            <w:gridSpan w:val="8"/>
            <w:shd w:val="clear" w:color="auto" w:fill="D9D9D9"/>
          </w:tcPr>
          <w:p w:rsidR="00FF5868" w:rsidRPr="004E71D5" w:rsidRDefault="00FF5868" w:rsidP="00562213">
            <w:pPr>
              <w:pStyle w:val="StylTableSumText"/>
              <w:spacing w:afterAutospacing="0" w:line="360" w:lineRule="auto"/>
              <w:rPr>
                <w:rFonts w:ascii="Times New Roman" w:hAnsi="Times New Roman"/>
                <w:lang w:val="sk-SK"/>
              </w:rPr>
            </w:pPr>
            <w:r w:rsidRPr="004E71D5">
              <w:rPr>
                <w:rFonts w:ascii="Times New Roman" w:hAnsi="Times New Roman"/>
                <w:lang w:val="sk-SK"/>
              </w:rPr>
              <w:t xml:space="preserve">                                                                                                                                                    SPOLU: </w:t>
            </w:r>
            <w:r w:rsidR="00562213">
              <w:rPr>
                <w:rFonts w:ascii="Times New Roman" w:hAnsi="Times New Roman"/>
                <w:lang w:val="sk-SK"/>
              </w:rPr>
              <w:t>16</w:t>
            </w:r>
            <w:r w:rsidRPr="004E71D5">
              <w:rPr>
                <w:rFonts w:ascii="Times New Roman" w:hAnsi="Times New Roman"/>
                <w:lang w:val="sk-SK"/>
              </w:rPr>
              <w:t xml:space="preserve"> výstav</w:t>
            </w:r>
          </w:p>
        </w:tc>
      </w:tr>
    </w:tbl>
    <w:p w:rsidR="00FF5868" w:rsidRPr="004E71D5" w:rsidRDefault="00FF5868" w:rsidP="00FF5868">
      <w:pPr>
        <w:spacing w:line="360" w:lineRule="auto"/>
        <w:ind w:firstLine="708"/>
        <w:jc w:val="both"/>
      </w:pPr>
    </w:p>
    <w:p w:rsidR="00FF5868" w:rsidRPr="004E71D5" w:rsidRDefault="00562213" w:rsidP="00FF5868">
      <w:pPr>
        <w:spacing w:line="360" w:lineRule="auto"/>
        <w:ind w:firstLine="708"/>
        <w:jc w:val="both"/>
      </w:pPr>
      <w:r w:rsidRPr="00562213">
        <w:rPr>
          <w:bCs/>
          <w:iCs/>
        </w:rPr>
        <w:t>HMF spolupracovalo v súvislosti s realizáciou aktuálnych výstav otvorených roku 2014 s nasledovnými subjektmi zo SR: Novohradské múzeum a galéria (Lučenec), Gemersko-malohontské múzeum (Rimavská Sobota), Banícke múzeum (Rožňava), Slovenské národné múzeum - Múzeum Betliar, Múzeum telesnej kultúry v Slovenskej republike (Bratislava), Záhorské múzeum (Skalica), Slovenské národné múzeum - Múzeum kultúry Maďarov na Slovensku,</w:t>
      </w:r>
      <w:r>
        <w:rPr>
          <w:bCs/>
          <w:iCs/>
        </w:rPr>
        <w:t xml:space="preserve"> </w:t>
      </w:r>
      <w:r w:rsidRPr="00562213">
        <w:rPr>
          <w:bCs/>
          <w:iCs/>
        </w:rPr>
        <w:t>Vlastivedné múzeum (Galanta), Slovenské národné múzeum – Múzeum Červený Kameň, Trenčianske múzeum (Trenčín), Krajský pamiatkový úrad Banská Bystrica, Slovenské národné múzeum – Archeologické múzeum (Bratislava), Stredoslovenské múzeum (Banská Bystrica), Národná banka Slovenska – Múzeum mincí a medailí (Kremnica), Múzeum mesta Bratislavy, Oravské múzeum P.O. Hviezdoslava (Dolný Kubín),  Liptovské múzeum (Ružomberok), Železiarne Podbrezová, a.s., insitný maliar Gabriel Kurák (Lučenec)  a zo zahraničia:Dornyay Béla Múzeum (Salgótarján, MR),  a súkromný zberateľ a námorný kapitán József Horváth (Veresegyház, MR), súkromná zberateľka Mária Konthur (Budapešť, MR)</w:t>
      </w:r>
      <w:r>
        <w:rPr>
          <w:bCs/>
          <w:iCs/>
        </w:rPr>
        <w:t xml:space="preserve">. </w:t>
      </w:r>
      <w:r w:rsidR="00FF5868" w:rsidRPr="004E71D5">
        <w:rPr>
          <w:bCs/>
          <w:iCs/>
        </w:rPr>
        <w:t xml:space="preserve"> Výstavný program múzea bol zameraný na rôzne oblasti múzejnej práce od prírodných vied, cez históriu a národopis až k dejinám umenia a súčasnému umeniu. Celoročný plán krátkodobých </w:t>
      </w:r>
      <w:r>
        <w:rPr>
          <w:bCs/>
          <w:iCs/>
        </w:rPr>
        <w:t>výstav sa zrealizoval na 123</w:t>
      </w:r>
      <w:r w:rsidR="00FF5868" w:rsidRPr="004E71D5">
        <w:rPr>
          <w:bCs/>
          <w:iCs/>
        </w:rPr>
        <w:t xml:space="preserve">%. </w:t>
      </w:r>
    </w:p>
    <w:p w:rsidR="00FF5868" w:rsidRPr="004E71D5" w:rsidRDefault="00FF5868" w:rsidP="00FF5868">
      <w:pPr>
        <w:spacing w:line="360" w:lineRule="auto"/>
        <w:ind w:firstLine="708"/>
        <w:jc w:val="both"/>
        <w:rPr>
          <w:bCs/>
          <w:iCs/>
        </w:rPr>
      </w:pPr>
      <w:r w:rsidRPr="004E71D5">
        <w:rPr>
          <w:bCs/>
          <w:iCs/>
        </w:rPr>
        <w:t xml:space="preserve">HMF zorganizovalo </w:t>
      </w:r>
      <w:r w:rsidRPr="004E71D5">
        <w:t xml:space="preserve">múzejnopedagogické programy </w:t>
      </w:r>
      <w:r w:rsidR="008E3D4D">
        <w:t>počas celého roka tak k výstavám v Bebekovej bašte ako aj v MVM</w:t>
      </w:r>
      <w:r w:rsidRPr="004E71D5">
        <w:t xml:space="preserve"> – programy pripravil: Marian Mesiarik, m</w:t>
      </w:r>
      <w:r w:rsidR="008E3D4D">
        <w:t>úzejný pedagóg inštitúcie. Na 11</w:t>
      </w:r>
      <w:r w:rsidRPr="004E71D5">
        <w:t xml:space="preserve"> </w:t>
      </w:r>
      <w:r w:rsidR="008E3D4D">
        <w:t>dielňach sa zúčastnilo spolu 406</w:t>
      </w:r>
      <w:r w:rsidRPr="004E71D5">
        <w:t xml:space="preserve"> študentov. </w:t>
      </w:r>
    </w:p>
    <w:p w:rsidR="00FF5868" w:rsidRPr="004E71D5" w:rsidRDefault="00FF5868" w:rsidP="00FF5868">
      <w:pPr>
        <w:spacing w:line="360" w:lineRule="auto"/>
        <w:ind w:firstLine="708"/>
        <w:jc w:val="both"/>
        <w:rPr>
          <w:bCs/>
          <w:iCs/>
        </w:rPr>
      </w:pPr>
      <w:r w:rsidRPr="004E71D5">
        <w:rPr>
          <w:bCs/>
          <w:iCs/>
        </w:rPr>
        <w:t xml:space="preserve">Zbierkové predmety HMF boli použité na troch </w:t>
      </w:r>
      <w:r w:rsidR="008E3D4D">
        <w:rPr>
          <w:bCs/>
          <w:iCs/>
        </w:rPr>
        <w:t>výstavách inštitúcie</w:t>
      </w:r>
      <w:r w:rsidRPr="004E71D5">
        <w:rPr>
          <w:bCs/>
          <w:iCs/>
        </w:rPr>
        <w:t xml:space="preserve">. </w:t>
      </w:r>
    </w:p>
    <w:p w:rsidR="00FF5868" w:rsidRPr="004E71D5" w:rsidRDefault="00FF5868" w:rsidP="00FF5868">
      <w:pPr>
        <w:spacing w:line="360" w:lineRule="auto"/>
        <w:jc w:val="both"/>
        <w:rPr>
          <w:b/>
          <w:i/>
        </w:rPr>
      </w:pPr>
    </w:p>
    <w:p w:rsidR="00FF5868" w:rsidRPr="004E71D5" w:rsidRDefault="00FF5868" w:rsidP="00FF5868">
      <w:pPr>
        <w:spacing w:line="360" w:lineRule="auto"/>
        <w:rPr>
          <w:b/>
          <w:i/>
        </w:rPr>
      </w:pPr>
      <w:r w:rsidRPr="004E71D5">
        <w:rPr>
          <w:b/>
          <w:i/>
        </w:rPr>
        <w:t>Celková návštevnosť hradu a stálych expozícií</w:t>
      </w:r>
      <w:r w:rsidRPr="004E71D5">
        <w:rPr>
          <w:b/>
          <w:bCs/>
          <w:i/>
          <w:iCs/>
        </w:rPr>
        <w:t xml:space="preserve"> </w:t>
      </w:r>
      <w:r w:rsidR="008E3D4D">
        <w:rPr>
          <w:b/>
          <w:bCs/>
          <w:i/>
          <w:iCs/>
        </w:rPr>
        <w:t>za posledných sedem</w:t>
      </w:r>
      <w:r w:rsidRPr="004E71D5">
        <w:rPr>
          <w:b/>
          <w:bCs/>
          <w:i/>
          <w:iCs/>
        </w:rPr>
        <w:t xml:space="preserve"> rokov</w:t>
      </w:r>
      <w:r w:rsidRPr="004E71D5">
        <w:rPr>
          <w:b/>
          <w: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6"/>
        <w:gridCol w:w="887"/>
        <w:gridCol w:w="1129"/>
        <w:gridCol w:w="1131"/>
        <w:gridCol w:w="1131"/>
        <w:gridCol w:w="1129"/>
        <w:gridCol w:w="1129"/>
        <w:gridCol w:w="1126"/>
      </w:tblGrid>
      <w:tr w:rsidR="008E3D4D" w:rsidRPr="008E3D4D" w:rsidTr="008E3D4D">
        <w:tc>
          <w:tcPr>
            <w:tcW w:w="875" w:type="pct"/>
            <w:shd w:val="clear" w:color="auto" w:fill="A6A6A6" w:themeFill="background1" w:themeFillShade="A6"/>
          </w:tcPr>
          <w:p w:rsidR="008E3D4D" w:rsidRPr="008E3D4D" w:rsidRDefault="008E3D4D" w:rsidP="0016092C">
            <w:pPr>
              <w:spacing w:line="360" w:lineRule="auto"/>
              <w:rPr>
                <w:b/>
              </w:rPr>
            </w:pPr>
          </w:p>
        </w:tc>
        <w:tc>
          <w:tcPr>
            <w:tcW w:w="477" w:type="pct"/>
            <w:shd w:val="clear" w:color="auto" w:fill="A6A6A6" w:themeFill="background1" w:themeFillShade="A6"/>
          </w:tcPr>
          <w:p w:rsidR="008E3D4D" w:rsidRPr="008E3D4D" w:rsidRDefault="008E3D4D" w:rsidP="0016092C">
            <w:pPr>
              <w:spacing w:line="360" w:lineRule="auto"/>
              <w:jc w:val="center"/>
              <w:rPr>
                <w:b/>
              </w:rPr>
            </w:pPr>
            <w:r w:rsidRPr="008E3D4D">
              <w:rPr>
                <w:b/>
              </w:rPr>
              <w:t>2008</w:t>
            </w:r>
          </w:p>
        </w:tc>
        <w:tc>
          <w:tcPr>
            <w:tcW w:w="608" w:type="pct"/>
            <w:shd w:val="clear" w:color="auto" w:fill="A6A6A6" w:themeFill="background1" w:themeFillShade="A6"/>
          </w:tcPr>
          <w:p w:rsidR="008E3D4D" w:rsidRPr="008E3D4D" w:rsidRDefault="008E3D4D" w:rsidP="0016092C">
            <w:pPr>
              <w:spacing w:line="360" w:lineRule="auto"/>
              <w:jc w:val="center"/>
              <w:rPr>
                <w:b/>
              </w:rPr>
            </w:pPr>
            <w:r w:rsidRPr="008E3D4D">
              <w:rPr>
                <w:b/>
              </w:rPr>
              <w:t>2009</w:t>
            </w:r>
          </w:p>
        </w:tc>
        <w:tc>
          <w:tcPr>
            <w:tcW w:w="609" w:type="pct"/>
            <w:shd w:val="clear" w:color="auto" w:fill="A6A6A6" w:themeFill="background1" w:themeFillShade="A6"/>
          </w:tcPr>
          <w:p w:rsidR="008E3D4D" w:rsidRPr="008E3D4D" w:rsidRDefault="008E3D4D" w:rsidP="0016092C">
            <w:pPr>
              <w:spacing w:line="360" w:lineRule="auto"/>
              <w:jc w:val="center"/>
              <w:rPr>
                <w:b/>
              </w:rPr>
            </w:pPr>
            <w:r w:rsidRPr="008E3D4D">
              <w:rPr>
                <w:b/>
              </w:rPr>
              <w:t>2010</w:t>
            </w:r>
          </w:p>
        </w:tc>
        <w:tc>
          <w:tcPr>
            <w:tcW w:w="609" w:type="pct"/>
            <w:shd w:val="clear" w:color="auto" w:fill="A6A6A6" w:themeFill="background1" w:themeFillShade="A6"/>
          </w:tcPr>
          <w:p w:rsidR="008E3D4D" w:rsidRPr="008E3D4D" w:rsidRDefault="008E3D4D" w:rsidP="0016092C">
            <w:pPr>
              <w:spacing w:line="360" w:lineRule="auto"/>
              <w:jc w:val="center"/>
              <w:rPr>
                <w:b/>
              </w:rPr>
            </w:pPr>
            <w:r w:rsidRPr="008E3D4D">
              <w:rPr>
                <w:b/>
              </w:rPr>
              <w:t>2011</w:t>
            </w:r>
          </w:p>
        </w:tc>
        <w:tc>
          <w:tcPr>
            <w:tcW w:w="608" w:type="pct"/>
            <w:shd w:val="clear" w:color="auto" w:fill="A6A6A6" w:themeFill="background1" w:themeFillShade="A6"/>
          </w:tcPr>
          <w:p w:rsidR="008E3D4D" w:rsidRPr="008E3D4D" w:rsidRDefault="008E3D4D" w:rsidP="0016092C">
            <w:pPr>
              <w:spacing w:line="360" w:lineRule="auto"/>
              <w:jc w:val="center"/>
              <w:rPr>
                <w:b/>
              </w:rPr>
            </w:pPr>
            <w:r w:rsidRPr="008E3D4D">
              <w:rPr>
                <w:b/>
              </w:rPr>
              <w:t>2012</w:t>
            </w:r>
          </w:p>
        </w:tc>
        <w:tc>
          <w:tcPr>
            <w:tcW w:w="608" w:type="pct"/>
            <w:shd w:val="clear" w:color="auto" w:fill="A6A6A6" w:themeFill="background1" w:themeFillShade="A6"/>
          </w:tcPr>
          <w:p w:rsidR="008E3D4D" w:rsidRPr="008E3D4D" w:rsidRDefault="008E3D4D" w:rsidP="0016092C">
            <w:pPr>
              <w:spacing w:line="360" w:lineRule="auto"/>
              <w:jc w:val="center"/>
              <w:rPr>
                <w:b/>
              </w:rPr>
            </w:pPr>
            <w:r w:rsidRPr="008E3D4D">
              <w:rPr>
                <w:b/>
              </w:rPr>
              <w:t>2013</w:t>
            </w:r>
          </w:p>
        </w:tc>
        <w:tc>
          <w:tcPr>
            <w:tcW w:w="607" w:type="pct"/>
            <w:shd w:val="clear" w:color="auto" w:fill="A6A6A6" w:themeFill="background1" w:themeFillShade="A6"/>
          </w:tcPr>
          <w:p w:rsidR="008E3D4D" w:rsidRPr="008E3D4D" w:rsidRDefault="008E3D4D" w:rsidP="0016092C">
            <w:pPr>
              <w:spacing w:line="360" w:lineRule="auto"/>
              <w:jc w:val="center"/>
              <w:rPr>
                <w:b/>
              </w:rPr>
            </w:pPr>
            <w:r w:rsidRPr="008E3D4D">
              <w:rPr>
                <w:b/>
              </w:rPr>
              <w:t>2014</w:t>
            </w:r>
          </w:p>
        </w:tc>
      </w:tr>
      <w:tr w:rsidR="008E3D4D" w:rsidRPr="004E71D5" w:rsidTr="008E3D4D">
        <w:tc>
          <w:tcPr>
            <w:tcW w:w="875" w:type="pct"/>
          </w:tcPr>
          <w:p w:rsidR="008E3D4D" w:rsidRPr="004E71D5" w:rsidRDefault="008E3D4D" w:rsidP="008E3D4D">
            <w:r w:rsidRPr="004E71D5">
              <w:rPr>
                <w:b/>
                <w:color w:val="000000"/>
              </w:rPr>
              <w:t>Fiľakovský hrad a expozícia</w:t>
            </w:r>
          </w:p>
        </w:tc>
        <w:tc>
          <w:tcPr>
            <w:tcW w:w="477" w:type="pct"/>
          </w:tcPr>
          <w:p w:rsidR="008E3D4D" w:rsidRPr="004E71D5" w:rsidRDefault="008E3D4D" w:rsidP="008E3D4D">
            <w:pPr>
              <w:jc w:val="center"/>
            </w:pPr>
            <w:r w:rsidRPr="004E71D5">
              <w:t>16.542</w:t>
            </w:r>
          </w:p>
        </w:tc>
        <w:tc>
          <w:tcPr>
            <w:tcW w:w="608" w:type="pct"/>
          </w:tcPr>
          <w:p w:rsidR="008E3D4D" w:rsidRPr="004E71D5" w:rsidRDefault="008E3D4D" w:rsidP="008E3D4D">
            <w:pPr>
              <w:jc w:val="center"/>
            </w:pPr>
            <w:r w:rsidRPr="004E71D5">
              <w:t>20.332</w:t>
            </w:r>
          </w:p>
        </w:tc>
        <w:tc>
          <w:tcPr>
            <w:tcW w:w="609" w:type="pct"/>
          </w:tcPr>
          <w:p w:rsidR="008E3D4D" w:rsidRPr="004E71D5" w:rsidRDefault="008E3D4D" w:rsidP="008E3D4D">
            <w:pPr>
              <w:jc w:val="center"/>
            </w:pPr>
            <w:r w:rsidRPr="004E71D5">
              <w:t>16.441</w:t>
            </w:r>
          </w:p>
        </w:tc>
        <w:tc>
          <w:tcPr>
            <w:tcW w:w="609" w:type="pct"/>
          </w:tcPr>
          <w:p w:rsidR="008E3D4D" w:rsidRPr="004E71D5" w:rsidRDefault="008E3D4D" w:rsidP="008E3D4D">
            <w:pPr>
              <w:jc w:val="center"/>
            </w:pPr>
            <w:r w:rsidRPr="004E71D5">
              <w:t>18.915</w:t>
            </w:r>
          </w:p>
        </w:tc>
        <w:tc>
          <w:tcPr>
            <w:tcW w:w="608" w:type="pct"/>
          </w:tcPr>
          <w:p w:rsidR="008E3D4D" w:rsidRPr="004E71D5" w:rsidRDefault="008E3D4D" w:rsidP="008E3D4D">
            <w:pPr>
              <w:jc w:val="center"/>
            </w:pPr>
            <w:r w:rsidRPr="004E71D5">
              <w:t>16.491</w:t>
            </w:r>
          </w:p>
        </w:tc>
        <w:tc>
          <w:tcPr>
            <w:tcW w:w="608" w:type="pct"/>
          </w:tcPr>
          <w:p w:rsidR="008E3D4D" w:rsidRPr="004E71D5" w:rsidRDefault="008E3D4D" w:rsidP="008E3D4D">
            <w:pPr>
              <w:jc w:val="center"/>
            </w:pPr>
            <w:r w:rsidRPr="004E71D5">
              <w:t>16.953</w:t>
            </w:r>
          </w:p>
        </w:tc>
        <w:tc>
          <w:tcPr>
            <w:tcW w:w="607" w:type="pct"/>
          </w:tcPr>
          <w:p w:rsidR="008E3D4D" w:rsidRPr="004E71D5" w:rsidRDefault="008E3D4D" w:rsidP="008E3D4D">
            <w:pPr>
              <w:jc w:val="center"/>
            </w:pPr>
            <w:r>
              <w:t>20.71</w:t>
            </w:r>
            <w:r w:rsidR="00446C3C">
              <w:t>4</w:t>
            </w:r>
          </w:p>
        </w:tc>
      </w:tr>
      <w:tr w:rsidR="008E3D4D" w:rsidRPr="004E71D5" w:rsidTr="008E3D4D">
        <w:tc>
          <w:tcPr>
            <w:tcW w:w="875" w:type="pct"/>
          </w:tcPr>
          <w:p w:rsidR="008E3D4D" w:rsidRPr="004E71D5" w:rsidRDefault="008E3D4D" w:rsidP="008E3D4D">
            <w:r w:rsidRPr="004E71D5">
              <w:rPr>
                <w:color w:val="000000"/>
              </w:rPr>
              <w:t>Expozícia  a výstavy M</w:t>
            </w:r>
            <w:r>
              <w:rPr>
                <w:color w:val="000000"/>
              </w:rPr>
              <w:t>VM</w:t>
            </w:r>
          </w:p>
        </w:tc>
        <w:tc>
          <w:tcPr>
            <w:tcW w:w="477" w:type="pct"/>
          </w:tcPr>
          <w:p w:rsidR="008E3D4D" w:rsidRPr="004E71D5" w:rsidRDefault="008E3D4D" w:rsidP="008E3D4D">
            <w:pPr>
              <w:jc w:val="center"/>
            </w:pPr>
            <w:r w:rsidRPr="004E71D5">
              <w:t>789</w:t>
            </w:r>
          </w:p>
        </w:tc>
        <w:tc>
          <w:tcPr>
            <w:tcW w:w="608" w:type="pct"/>
          </w:tcPr>
          <w:p w:rsidR="008E3D4D" w:rsidRPr="004E71D5" w:rsidRDefault="008E3D4D" w:rsidP="008E3D4D">
            <w:pPr>
              <w:jc w:val="center"/>
            </w:pPr>
            <w:r w:rsidRPr="004E71D5">
              <w:t>2.532</w:t>
            </w:r>
          </w:p>
        </w:tc>
        <w:tc>
          <w:tcPr>
            <w:tcW w:w="609" w:type="pct"/>
          </w:tcPr>
          <w:p w:rsidR="008E3D4D" w:rsidRPr="004E71D5" w:rsidRDefault="008E3D4D" w:rsidP="008E3D4D">
            <w:pPr>
              <w:jc w:val="center"/>
            </w:pPr>
            <w:r w:rsidRPr="004E71D5">
              <w:t>792</w:t>
            </w:r>
          </w:p>
        </w:tc>
        <w:tc>
          <w:tcPr>
            <w:tcW w:w="609" w:type="pct"/>
            <w:shd w:val="clear" w:color="auto" w:fill="FFFFFF" w:themeFill="background1"/>
          </w:tcPr>
          <w:p w:rsidR="008E3D4D" w:rsidRPr="004E71D5" w:rsidRDefault="008E3D4D" w:rsidP="008E3D4D">
            <w:pPr>
              <w:jc w:val="center"/>
            </w:pPr>
            <w:r w:rsidRPr="004E71D5">
              <w:t>567</w:t>
            </w:r>
          </w:p>
          <w:p w:rsidR="008E3D4D" w:rsidRPr="004E71D5" w:rsidRDefault="008E3D4D" w:rsidP="008E3D4D">
            <w:pPr>
              <w:jc w:val="center"/>
            </w:pPr>
            <w:r w:rsidRPr="004E71D5">
              <w:t>(po rekonštru</w:t>
            </w:r>
            <w:r w:rsidRPr="004E71D5">
              <w:lastRenderedPageBreak/>
              <w:t>kcii bola otvorená iba od 12. 9. 2011)</w:t>
            </w:r>
          </w:p>
        </w:tc>
        <w:tc>
          <w:tcPr>
            <w:tcW w:w="608" w:type="pct"/>
          </w:tcPr>
          <w:p w:rsidR="008E3D4D" w:rsidRPr="004E71D5" w:rsidRDefault="008E3D4D" w:rsidP="008E3D4D">
            <w:pPr>
              <w:jc w:val="center"/>
            </w:pPr>
            <w:r w:rsidRPr="004E71D5">
              <w:lastRenderedPageBreak/>
              <w:t>3 613</w:t>
            </w:r>
          </w:p>
        </w:tc>
        <w:tc>
          <w:tcPr>
            <w:tcW w:w="608" w:type="pct"/>
          </w:tcPr>
          <w:p w:rsidR="008E3D4D" w:rsidRPr="004E71D5" w:rsidRDefault="008E3D4D" w:rsidP="008E3D4D">
            <w:pPr>
              <w:jc w:val="center"/>
            </w:pPr>
            <w:r w:rsidRPr="004E71D5">
              <w:t>3.054</w:t>
            </w:r>
          </w:p>
        </w:tc>
        <w:tc>
          <w:tcPr>
            <w:tcW w:w="607" w:type="pct"/>
          </w:tcPr>
          <w:p w:rsidR="008E3D4D" w:rsidRPr="004E71D5" w:rsidRDefault="008E3D4D" w:rsidP="008E3D4D">
            <w:pPr>
              <w:jc w:val="center"/>
            </w:pPr>
            <w:r>
              <w:t>1956</w:t>
            </w:r>
          </w:p>
        </w:tc>
      </w:tr>
      <w:tr w:rsidR="008E3D4D" w:rsidRPr="004E71D5" w:rsidTr="008E3D4D">
        <w:tc>
          <w:tcPr>
            <w:tcW w:w="875" w:type="pct"/>
            <w:shd w:val="clear" w:color="auto" w:fill="A6A6A6" w:themeFill="background1" w:themeFillShade="A6"/>
          </w:tcPr>
          <w:p w:rsidR="008E3D4D" w:rsidRPr="004E71D5" w:rsidRDefault="008E3D4D" w:rsidP="008E3D4D">
            <w:pPr>
              <w:rPr>
                <w:b/>
              </w:rPr>
            </w:pPr>
            <w:r w:rsidRPr="004E71D5">
              <w:rPr>
                <w:b/>
                <w:color w:val="000000"/>
              </w:rPr>
              <w:lastRenderedPageBreak/>
              <w:t>Hrad a Mestské múzeum spolu</w:t>
            </w:r>
          </w:p>
        </w:tc>
        <w:tc>
          <w:tcPr>
            <w:tcW w:w="477" w:type="pct"/>
            <w:shd w:val="clear" w:color="auto" w:fill="A6A6A6" w:themeFill="background1" w:themeFillShade="A6"/>
          </w:tcPr>
          <w:p w:rsidR="008E3D4D" w:rsidRPr="004E71D5" w:rsidRDefault="008E3D4D" w:rsidP="008E3D4D">
            <w:pPr>
              <w:jc w:val="center"/>
            </w:pPr>
            <w:r w:rsidRPr="004E71D5">
              <w:t>17.331</w:t>
            </w:r>
          </w:p>
        </w:tc>
        <w:tc>
          <w:tcPr>
            <w:tcW w:w="608" w:type="pct"/>
            <w:shd w:val="clear" w:color="auto" w:fill="A6A6A6" w:themeFill="background1" w:themeFillShade="A6"/>
          </w:tcPr>
          <w:p w:rsidR="008E3D4D" w:rsidRPr="004E71D5" w:rsidRDefault="008E3D4D" w:rsidP="008E3D4D">
            <w:pPr>
              <w:jc w:val="center"/>
            </w:pPr>
            <w:r w:rsidRPr="004E71D5">
              <w:t>22.864</w:t>
            </w:r>
          </w:p>
        </w:tc>
        <w:tc>
          <w:tcPr>
            <w:tcW w:w="609" w:type="pct"/>
            <w:shd w:val="clear" w:color="auto" w:fill="A6A6A6" w:themeFill="background1" w:themeFillShade="A6"/>
          </w:tcPr>
          <w:p w:rsidR="008E3D4D" w:rsidRPr="004E71D5" w:rsidRDefault="008E3D4D" w:rsidP="008E3D4D">
            <w:pPr>
              <w:jc w:val="center"/>
            </w:pPr>
            <w:r w:rsidRPr="004E71D5">
              <w:t>17.233</w:t>
            </w:r>
          </w:p>
        </w:tc>
        <w:tc>
          <w:tcPr>
            <w:tcW w:w="609" w:type="pct"/>
            <w:shd w:val="clear" w:color="auto" w:fill="A6A6A6" w:themeFill="background1" w:themeFillShade="A6"/>
          </w:tcPr>
          <w:p w:rsidR="008E3D4D" w:rsidRPr="004E71D5" w:rsidRDefault="008E3D4D" w:rsidP="008E3D4D">
            <w:pPr>
              <w:jc w:val="center"/>
            </w:pPr>
            <w:r w:rsidRPr="004E71D5">
              <w:t>19.482</w:t>
            </w:r>
          </w:p>
        </w:tc>
        <w:tc>
          <w:tcPr>
            <w:tcW w:w="608" w:type="pct"/>
            <w:shd w:val="clear" w:color="auto" w:fill="A6A6A6" w:themeFill="background1" w:themeFillShade="A6"/>
          </w:tcPr>
          <w:p w:rsidR="008E3D4D" w:rsidRPr="004E71D5" w:rsidRDefault="008E3D4D" w:rsidP="008E3D4D">
            <w:pPr>
              <w:jc w:val="center"/>
            </w:pPr>
            <w:r w:rsidRPr="004E71D5">
              <w:t>20.104</w:t>
            </w:r>
          </w:p>
        </w:tc>
        <w:tc>
          <w:tcPr>
            <w:tcW w:w="608" w:type="pct"/>
            <w:shd w:val="clear" w:color="auto" w:fill="A6A6A6" w:themeFill="background1" w:themeFillShade="A6"/>
          </w:tcPr>
          <w:p w:rsidR="008E3D4D" w:rsidRPr="004E71D5" w:rsidRDefault="008E3D4D" w:rsidP="008E3D4D">
            <w:pPr>
              <w:jc w:val="center"/>
              <w:rPr>
                <w:b/>
              </w:rPr>
            </w:pPr>
            <w:r w:rsidRPr="004E71D5">
              <w:rPr>
                <w:b/>
              </w:rPr>
              <w:t>20.007</w:t>
            </w:r>
          </w:p>
        </w:tc>
        <w:tc>
          <w:tcPr>
            <w:tcW w:w="607" w:type="pct"/>
            <w:shd w:val="clear" w:color="auto" w:fill="A6A6A6" w:themeFill="background1" w:themeFillShade="A6"/>
          </w:tcPr>
          <w:p w:rsidR="008E3D4D" w:rsidRPr="004E71D5" w:rsidRDefault="008E3D4D" w:rsidP="008E3D4D">
            <w:pPr>
              <w:jc w:val="center"/>
              <w:rPr>
                <w:b/>
              </w:rPr>
            </w:pPr>
            <w:r>
              <w:rPr>
                <w:b/>
              </w:rPr>
              <w:t>22.670</w:t>
            </w:r>
          </w:p>
        </w:tc>
      </w:tr>
    </w:tbl>
    <w:p w:rsidR="00FF5868" w:rsidRPr="004E71D5" w:rsidRDefault="00FF5868" w:rsidP="00FF5868">
      <w:pPr>
        <w:spacing w:line="360" w:lineRule="auto"/>
        <w:jc w:val="both"/>
        <w:rPr>
          <w:b/>
          <w:i/>
        </w:rPr>
      </w:pPr>
    </w:p>
    <w:p w:rsidR="00FF5868" w:rsidRPr="004E71D5" w:rsidRDefault="00FF5868" w:rsidP="00FF5868">
      <w:pPr>
        <w:spacing w:line="360" w:lineRule="auto"/>
        <w:jc w:val="both"/>
        <w:rPr>
          <w:b/>
          <w:i/>
        </w:rPr>
      </w:pPr>
      <w:r w:rsidRPr="004E71D5">
        <w:rPr>
          <w:b/>
          <w:i/>
        </w:rPr>
        <w:t xml:space="preserve">Vývoj návštevnosti a výnosu zo sprístupňovania hradu </w:t>
      </w:r>
      <w:r w:rsidR="00446C3C">
        <w:rPr>
          <w:b/>
          <w:bCs/>
          <w:i/>
          <w:iCs/>
        </w:rPr>
        <w:t>za posledných sedem</w:t>
      </w:r>
      <w:r w:rsidRPr="004E71D5">
        <w:rPr>
          <w:b/>
          <w:bCs/>
          <w:i/>
          <w:iCs/>
        </w:rPr>
        <w:t xml:space="preserve"> rokov:</w:t>
      </w:r>
      <w:r w:rsidRPr="004E71D5">
        <w:rPr>
          <w:b/>
          <w:i/>
        </w:rPr>
        <w:t xml:space="preserve">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4"/>
        <w:gridCol w:w="902"/>
        <w:gridCol w:w="1134"/>
        <w:gridCol w:w="1134"/>
        <w:gridCol w:w="993"/>
        <w:gridCol w:w="1275"/>
        <w:gridCol w:w="1134"/>
        <w:gridCol w:w="1242"/>
      </w:tblGrid>
      <w:tr w:rsidR="008E3D4D" w:rsidRPr="004E71D5" w:rsidTr="00446C3C">
        <w:tc>
          <w:tcPr>
            <w:tcW w:w="1474" w:type="dxa"/>
            <w:shd w:val="clear" w:color="auto" w:fill="A6A6A6" w:themeFill="background1" w:themeFillShade="A6"/>
          </w:tcPr>
          <w:p w:rsidR="008E3D4D" w:rsidRPr="004E71D5" w:rsidRDefault="008E3D4D" w:rsidP="0016092C">
            <w:pPr>
              <w:spacing w:line="360" w:lineRule="auto"/>
              <w:jc w:val="center"/>
              <w:rPr>
                <w:b/>
                <w:bCs/>
                <w:iCs/>
              </w:rPr>
            </w:pPr>
          </w:p>
        </w:tc>
        <w:tc>
          <w:tcPr>
            <w:tcW w:w="902" w:type="dxa"/>
            <w:shd w:val="clear" w:color="auto" w:fill="A6A6A6" w:themeFill="background1" w:themeFillShade="A6"/>
          </w:tcPr>
          <w:p w:rsidR="008E3D4D" w:rsidRPr="004E71D5" w:rsidRDefault="008E3D4D" w:rsidP="0016092C">
            <w:pPr>
              <w:spacing w:line="360" w:lineRule="auto"/>
              <w:jc w:val="center"/>
              <w:rPr>
                <w:bCs/>
                <w:iCs/>
              </w:rPr>
            </w:pPr>
            <w:r w:rsidRPr="004E71D5">
              <w:rPr>
                <w:bCs/>
                <w:iCs/>
              </w:rPr>
              <w:t>2008</w:t>
            </w:r>
          </w:p>
        </w:tc>
        <w:tc>
          <w:tcPr>
            <w:tcW w:w="1134" w:type="dxa"/>
            <w:shd w:val="clear" w:color="auto" w:fill="A6A6A6" w:themeFill="background1" w:themeFillShade="A6"/>
          </w:tcPr>
          <w:p w:rsidR="008E3D4D" w:rsidRPr="004E71D5" w:rsidRDefault="008E3D4D" w:rsidP="0016092C">
            <w:pPr>
              <w:spacing w:line="360" w:lineRule="auto"/>
              <w:jc w:val="center"/>
              <w:rPr>
                <w:bCs/>
                <w:iCs/>
              </w:rPr>
            </w:pPr>
            <w:r w:rsidRPr="004E71D5">
              <w:rPr>
                <w:bCs/>
                <w:iCs/>
              </w:rPr>
              <w:t>2009</w:t>
            </w:r>
          </w:p>
        </w:tc>
        <w:tc>
          <w:tcPr>
            <w:tcW w:w="1134" w:type="dxa"/>
            <w:shd w:val="clear" w:color="auto" w:fill="A6A6A6" w:themeFill="background1" w:themeFillShade="A6"/>
          </w:tcPr>
          <w:p w:rsidR="008E3D4D" w:rsidRPr="004E71D5" w:rsidRDefault="008E3D4D" w:rsidP="0016092C">
            <w:pPr>
              <w:spacing w:line="360" w:lineRule="auto"/>
              <w:jc w:val="center"/>
              <w:rPr>
                <w:bCs/>
                <w:iCs/>
              </w:rPr>
            </w:pPr>
            <w:r w:rsidRPr="004E71D5">
              <w:rPr>
                <w:bCs/>
                <w:iCs/>
              </w:rPr>
              <w:t>2010</w:t>
            </w:r>
          </w:p>
        </w:tc>
        <w:tc>
          <w:tcPr>
            <w:tcW w:w="993" w:type="dxa"/>
            <w:shd w:val="clear" w:color="auto" w:fill="A6A6A6" w:themeFill="background1" w:themeFillShade="A6"/>
          </w:tcPr>
          <w:p w:rsidR="008E3D4D" w:rsidRPr="004E71D5" w:rsidRDefault="008E3D4D" w:rsidP="0016092C">
            <w:pPr>
              <w:spacing w:line="360" w:lineRule="auto"/>
              <w:jc w:val="center"/>
              <w:rPr>
                <w:bCs/>
                <w:iCs/>
              </w:rPr>
            </w:pPr>
            <w:r w:rsidRPr="004E71D5">
              <w:rPr>
                <w:bCs/>
                <w:iCs/>
              </w:rPr>
              <w:t>2011</w:t>
            </w:r>
          </w:p>
        </w:tc>
        <w:tc>
          <w:tcPr>
            <w:tcW w:w="1275" w:type="dxa"/>
            <w:shd w:val="clear" w:color="auto" w:fill="A6A6A6" w:themeFill="background1" w:themeFillShade="A6"/>
          </w:tcPr>
          <w:p w:rsidR="008E3D4D" w:rsidRPr="004E71D5" w:rsidRDefault="008E3D4D" w:rsidP="0016092C">
            <w:pPr>
              <w:spacing w:line="360" w:lineRule="auto"/>
              <w:jc w:val="center"/>
              <w:rPr>
                <w:bCs/>
                <w:iCs/>
              </w:rPr>
            </w:pPr>
            <w:r w:rsidRPr="004E71D5">
              <w:rPr>
                <w:bCs/>
                <w:iCs/>
              </w:rPr>
              <w:t>2012</w:t>
            </w:r>
          </w:p>
        </w:tc>
        <w:tc>
          <w:tcPr>
            <w:tcW w:w="1134" w:type="dxa"/>
            <w:shd w:val="clear" w:color="auto" w:fill="A6A6A6" w:themeFill="background1" w:themeFillShade="A6"/>
          </w:tcPr>
          <w:p w:rsidR="008E3D4D" w:rsidRPr="00446C3C" w:rsidRDefault="008E3D4D" w:rsidP="0016092C">
            <w:pPr>
              <w:spacing w:line="360" w:lineRule="auto"/>
              <w:jc w:val="center"/>
              <w:rPr>
                <w:bCs/>
                <w:iCs/>
              </w:rPr>
            </w:pPr>
            <w:r w:rsidRPr="00446C3C">
              <w:rPr>
                <w:bCs/>
                <w:iCs/>
              </w:rPr>
              <w:t>2013</w:t>
            </w:r>
          </w:p>
        </w:tc>
        <w:tc>
          <w:tcPr>
            <w:tcW w:w="1242" w:type="dxa"/>
            <w:shd w:val="clear" w:color="auto" w:fill="A6A6A6" w:themeFill="background1" w:themeFillShade="A6"/>
          </w:tcPr>
          <w:p w:rsidR="008E3D4D" w:rsidRPr="004E71D5" w:rsidRDefault="00446C3C" w:rsidP="0016092C">
            <w:pPr>
              <w:spacing w:line="360" w:lineRule="auto"/>
              <w:jc w:val="center"/>
              <w:rPr>
                <w:b/>
                <w:bCs/>
                <w:iCs/>
              </w:rPr>
            </w:pPr>
            <w:r>
              <w:rPr>
                <w:b/>
                <w:bCs/>
                <w:iCs/>
              </w:rPr>
              <w:t>2014</w:t>
            </w:r>
          </w:p>
        </w:tc>
      </w:tr>
      <w:tr w:rsidR="008E3D4D" w:rsidRPr="004E71D5" w:rsidTr="00446C3C">
        <w:tc>
          <w:tcPr>
            <w:tcW w:w="1474" w:type="dxa"/>
          </w:tcPr>
          <w:p w:rsidR="008E3D4D" w:rsidRPr="004E71D5" w:rsidRDefault="008E3D4D" w:rsidP="0016092C">
            <w:pPr>
              <w:spacing w:line="360" w:lineRule="auto"/>
              <w:jc w:val="center"/>
              <w:rPr>
                <w:b/>
                <w:bCs/>
                <w:iCs/>
              </w:rPr>
            </w:pPr>
            <w:r w:rsidRPr="004E71D5">
              <w:rPr>
                <w:b/>
                <w:bCs/>
                <w:iCs/>
              </w:rPr>
              <w:t>Celková návštevnosť</w:t>
            </w:r>
          </w:p>
        </w:tc>
        <w:tc>
          <w:tcPr>
            <w:tcW w:w="902" w:type="dxa"/>
          </w:tcPr>
          <w:p w:rsidR="008E3D4D" w:rsidRPr="004E71D5" w:rsidRDefault="008E3D4D" w:rsidP="0016092C">
            <w:pPr>
              <w:spacing w:line="360" w:lineRule="auto"/>
              <w:jc w:val="center"/>
              <w:rPr>
                <w:bCs/>
                <w:iCs/>
              </w:rPr>
            </w:pPr>
            <w:r w:rsidRPr="004E71D5">
              <w:rPr>
                <w:bCs/>
                <w:iCs/>
              </w:rPr>
              <w:t>16.542</w:t>
            </w:r>
          </w:p>
          <w:p w:rsidR="008E3D4D" w:rsidRPr="004E71D5" w:rsidRDefault="008E3D4D" w:rsidP="0016092C">
            <w:pPr>
              <w:spacing w:line="360" w:lineRule="auto"/>
              <w:jc w:val="center"/>
              <w:rPr>
                <w:b/>
                <w:bCs/>
                <w:i/>
                <w:iCs/>
              </w:rPr>
            </w:pPr>
          </w:p>
        </w:tc>
        <w:tc>
          <w:tcPr>
            <w:tcW w:w="1134" w:type="dxa"/>
          </w:tcPr>
          <w:p w:rsidR="008E3D4D" w:rsidRPr="004E71D5" w:rsidRDefault="008E3D4D" w:rsidP="0016092C">
            <w:pPr>
              <w:spacing w:line="360" w:lineRule="auto"/>
              <w:jc w:val="center"/>
            </w:pPr>
            <w:r w:rsidRPr="004E71D5">
              <w:t>20.332</w:t>
            </w:r>
          </w:p>
          <w:p w:rsidR="008E3D4D" w:rsidRPr="004E71D5" w:rsidRDefault="008E3D4D" w:rsidP="0016092C">
            <w:pPr>
              <w:spacing w:line="360" w:lineRule="auto"/>
              <w:jc w:val="center"/>
              <w:rPr>
                <w:b/>
                <w:bCs/>
                <w:i/>
                <w:iCs/>
              </w:rPr>
            </w:pPr>
          </w:p>
        </w:tc>
        <w:tc>
          <w:tcPr>
            <w:tcW w:w="1134" w:type="dxa"/>
          </w:tcPr>
          <w:p w:rsidR="008E3D4D" w:rsidRPr="004E71D5" w:rsidRDefault="008E3D4D" w:rsidP="0016092C">
            <w:pPr>
              <w:spacing w:line="360" w:lineRule="auto"/>
              <w:jc w:val="center"/>
            </w:pPr>
            <w:r w:rsidRPr="004E71D5">
              <w:t>16.441</w:t>
            </w:r>
          </w:p>
          <w:p w:rsidR="008E3D4D" w:rsidRPr="004E71D5" w:rsidRDefault="008E3D4D" w:rsidP="0016092C">
            <w:pPr>
              <w:spacing w:line="360" w:lineRule="auto"/>
              <w:jc w:val="center"/>
              <w:rPr>
                <w:b/>
                <w:bCs/>
                <w:i/>
                <w:iCs/>
              </w:rPr>
            </w:pPr>
          </w:p>
        </w:tc>
        <w:tc>
          <w:tcPr>
            <w:tcW w:w="993" w:type="dxa"/>
          </w:tcPr>
          <w:p w:rsidR="008E3D4D" w:rsidRPr="004E71D5" w:rsidRDefault="008E3D4D" w:rsidP="0016092C">
            <w:pPr>
              <w:spacing w:line="360" w:lineRule="auto"/>
              <w:jc w:val="center"/>
            </w:pPr>
            <w:r w:rsidRPr="004E71D5">
              <w:t>18.915</w:t>
            </w:r>
          </w:p>
          <w:p w:rsidR="008E3D4D" w:rsidRPr="004E71D5" w:rsidRDefault="008E3D4D" w:rsidP="0016092C">
            <w:pPr>
              <w:spacing w:line="360" w:lineRule="auto"/>
              <w:jc w:val="center"/>
              <w:rPr>
                <w:i/>
              </w:rPr>
            </w:pPr>
          </w:p>
        </w:tc>
        <w:tc>
          <w:tcPr>
            <w:tcW w:w="1275" w:type="dxa"/>
          </w:tcPr>
          <w:p w:rsidR="008E3D4D" w:rsidRPr="004E71D5" w:rsidRDefault="008E3D4D" w:rsidP="0016092C">
            <w:pPr>
              <w:spacing w:line="360" w:lineRule="auto"/>
              <w:jc w:val="center"/>
            </w:pPr>
            <w:r w:rsidRPr="004E71D5">
              <w:t>16 491</w:t>
            </w:r>
          </w:p>
        </w:tc>
        <w:tc>
          <w:tcPr>
            <w:tcW w:w="1134" w:type="dxa"/>
          </w:tcPr>
          <w:p w:rsidR="008E3D4D" w:rsidRPr="004E71D5" w:rsidRDefault="008E3D4D" w:rsidP="0016092C">
            <w:pPr>
              <w:spacing w:line="360" w:lineRule="auto"/>
              <w:jc w:val="center"/>
            </w:pPr>
            <w:r w:rsidRPr="004E71D5">
              <w:t>16.953</w:t>
            </w:r>
          </w:p>
        </w:tc>
        <w:tc>
          <w:tcPr>
            <w:tcW w:w="1242" w:type="dxa"/>
          </w:tcPr>
          <w:p w:rsidR="008E3D4D" w:rsidRPr="00446C3C" w:rsidRDefault="00446C3C" w:rsidP="0016092C">
            <w:pPr>
              <w:spacing w:line="360" w:lineRule="auto"/>
              <w:jc w:val="center"/>
              <w:rPr>
                <w:b/>
              </w:rPr>
            </w:pPr>
            <w:r w:rsidRPr="00446C3C">
              <w:rPr>
                <w:b/>
              </w:rPr>
              <w:t>20.714</w:t>
            </w:r>
          </w:p>
        </w:tc>
      </w:tr>
      <w:tr w:rsidR="008E3D4D" w:rsidRPr="004E71D5" w:rsidTr="00446C3C">
        <w:tc>
          <w:tcPr>
            <w:tcW w:w="1474" w:type="dxa"/>
          </w:tcPr>
          <w:p w:rsidR="008E3D4D" w:rsidRPr="004E71D5" w:rsidRDefault="008E3D4D" w:rsidP="0016092C">
            <w:pPr>
              <w:spacing w:line="360" w:lineRule="auto"/>
              <w:jc w:val="center"/>
              <w:rPr>
                <w:b/>
                <w:bCs/>
                <w:iCs/>
              </w:rPr>
            </w:pPr>
            <w:r w:rsidRPr="004E71D5">
              <w:rPr>
                <w:b/>
                <w:bCs/>
                <w:iCs/>
              </w:rPr>
              <w:t>Platiaci návštevníci</w:t>
            </w:r>
          </w:p>
        </w:tc>
        <w:tc>
          <w:tcPr>
            <w:tcW w:w="902" w:type="dxa"/>
          </w:tcPr>
          <w:p w:rsidR="008E3D4D" w:rsidRPr="004E71D5" w:rsidRDefault="008E3D4D" w:rsidP="0016092C">
            <w:pPr>
              <w:spacing w:line="360" w:lineRule="auto"/>
              <w:jc w:val="center"/>
              <w:rPr>
                <w:bCs/>
                <w:iCs/>
              </w:rPr>
            </w:pPr>
            <w:r w:rsidRPr="004E71D5">
              <w:rPr>
                <w:bCs/>
                <w:iCs/>
              </w:rPr>
              <w:t>14.342</w:t>
            </w:r>
          </w:p>
        </w:tc>
        <w:tc>
          <w:tcPr>
            <w:tcW w:w="1134" w:type="dxa"/>
          </w:tcPr>
          <w:p w:rsidR="008E3D4D" w:rsidRPr="004E71D5" w:rsidRDefault="008E3D4D" w:rsidP="0016092C">
            <w:pPr>
              <w:spacing w:line="360" w:lineRule="auto"/>
              <w:jc w:val="center"/>
            </w:pPr>
            <w:r w:rsidRPr="004E71D5">
              <w:t>13.828</w:t>
            </w:r>
          </w:p>
        </w:tc>
        <w:tc>
          <w:tcPr>
            <w:tcW w:w="1134" w:type="dxa"/>
          </w:tcPr>
          <w:p w:rsidR="008E3D4D" w:rsidRPr="004E71D5" w:rsidRDefault="008E3D4D" w:rsidP="0016092C">
            <w:pPr>
              <w:spacing w:line="360" w:lineRule="auto"/>
              <w:jc w:val="center"/>
            </w:pPr>
            <w:r w:rsidRPr="004E71D5">
              <w:t>14.123</w:t>
            </w:r>
          </w:p>
        </w:tc>
        <w:tc>
          <w:tcPr>
            <w:tcW w:w="993" w:type="dxa"/>
          </w:tcPr>
          <w:p w:rsidR="008E3D4D" w:rsidRPr="004E71D5" w:rsidRDefault="008E3D4D" w:rsidP="0016092C">
            <w:pPr>
              <w:spacing w:line="360" w:lineRule="auto"/>
              <w:jc w:val="center"/>
            </w:pPr>
            <w:r w:rsidRPr="004E71D5">
              <w:t>14.156</w:t>
            </w:r>
          </w:p>
        </w:tc>
        <w:tc>
          <w:tcPr>
            <w:tcW w:w="1275" w:type="dxa"/>
          </w:tcPr>
          <w:p w:rsidR="008E3D4D" w:rsidRPr="004E71D5" w:rsidRDefault="008E3D4D" w:rsidP="0016092C">
            <w:pPr>
              <w:spacing w:line="360" w:lineRule="auto"/>
              <w:jc w:val="center"/>
            </w:pPr>
            <w:r w:rsidRPr="004E71D5">
              <w:t>14.422</w:t>
            </w:r>
          </w:p>
        </w:tc>
        <w:tc>
          <w:tcPr>
            <w:tcW w:w="1134" w:type="dxa"/>
          </w:tcPr>
          <w:p w:rsidR="008E3D4D" w:rsidRPr="004E71D5" w:rsidRDefault="008E3D4D" w:rsidP="0016092C">
            <w:pPr>
              <w:spacing w:line="360" w:lineRule="auto"/>
              <w:jc w:val="center"/>
            </w:pPr>
            <w:r w:rsidRPr="004E71D5">
              <w:t>12.871</w:t>
            </w:r>
          </w:p>
        </w:tc>
        <w:tc>
          <w:tcPr>
            <w:tcW w:w="1242" w:type="dxa"/>
          </w:tcPr>
          <w:p w:rsidR="008E3D4D" w:rsidRPr="00446C3C" w:rsidRDefault="00446C3C" w:rsidP="0016092C">
            <w:pPr>
              <w:spacing w:line="360" w:lineRule="auto"/>
              <w:jc w:val="center"/>
              <w:rPr>
                <w:b/>
              </w:rPr>
            </w:pPr>
            <w:r w:rsidRPr="00446C3C">
              <w:rPr>
                <w:b/>
              </w:rPr>
              <w:t>16.468</w:t>
            </w:r>
          </w:p>
        </w:tc>
      </w:tr>
      <w:tr w:rsidR="008E3D4D" w:rsidRPr="004E71D5" w:rsidTr="00446C3C">
        <w:tc>
          <w:tcPr>
            <w:tcW w:w="1474" w:type="dxa"/>
            <w:shd w:val="clear" w:color="auto" w:fill="FFFFFF" w:themeFill="background1"/>
          </w:tcPr>
          <w:p w:rsidR="008E3D4D" w:rsidRPr="004E71D5" w:rsidRDefault="008E3D4D" w:rsidP="0016092C">
            <w:pPr>
              <w:spacing w:line="360" w:lineRule="auto"/>
              <w:jc w:val="center"/>
              <w:rPr>
                <w:b/>
                <w:bCs/>
                <w:iCs/>
              </w:rPr>
            </w:pPr>
            <w:r w:rsidRPr="004E71D5">
              <w:rPr>
                <w:b/>
                <w:bCs/>
                <w:iCs/>
              </w:rPr>
              <w:t>Výnos</w:t>
            </w:r>
          </w:p>
        </w:tc>
        <w:tc>
          <w:tcPr>
            <w:tcW w:w="902" w:type="dxa"/>
            <w:shd w:val="clear" w:color="auto" w:fill="FFFFFF" w:themeFill="background1"/>
          </w:tcPr>
          <w:p w:rsidR="008E3D4D" w:rsidRPr="004E71D5" w:rsidRDefault="008E3D4D" w:rsidP="0016092C">
            <w:pPr>
              <w:spacing w:line="360" w:lineRule="auto"/>
              <w:jc w:val="center"/>
            </w:pPr>
            <w:r>
              <w:t>17.734</w:t>
            </w:r>
            <w:r w:rsidRPr="004E71D5">
              <w:t>€</w:t>
            </w:r>
          </w:p>
        </w:tc>
        <w:tc>
          <w:tcPr>
            <w:tcW w:w="1134" w:type="dxa"/>
            <w:shd w:val="clear" w:color="auto" w:fill="FFFFFF" w:themeFill="background1"/>
          </w:tcPr>
          <w:p w:rsidR="008E3D4D" w:rsidRPr="004E71D5" w:rsidRDefault="008E3D4D" w:rsidP="0016092C">
            <w:pPr>
              <w:shd w:val="clear" w:color="auto" w:fill="FFFFFF"/>
              <w:spacing w:line="360" w:lineRule="auto"/>
              <w:jc w:val="center"/>
              <w:rPr>
                <w:color w:val="000000"/>
              </w:rPr>
            </w:pPr>
            <w:r>
              <w:rPr>
                <w:color w:val="000000"/>
              </w:rPr>
              <w:t>20.467,4</w:t>
            </w:r>
            <w:r w:rsidRPr="004E71D5">
              <w:rPr>
                <w:color w:val="000000"/>
              </w:rPr>
              <w:t xml:space="preserve"> €</w:t>
            </w:r>
          </w:p>
        </w:tc>
        <w:tc>
          <w:tcPr>
            <w:tcW w:w="1134" w:type="dxa"/>
            <w:shd w:val="clear" w:color="auto" w:fill="FFFFFF" w:themeFill="background1"/>
          </w:tcPr>
          <w:p w:rsidR="008E3D4D" w:rsidRPr="004E71D5" w:rsidRDefault="008E3D4D" w:rsidP="0016092C">
            <w:pPr>
              <w:spacing w:line="360" w:lineRule="auto"/>
              <w:jc w:val="center"/>
            </w:pPr>
            <w:r>
              <w:t>21.001,9</w:t>
            </w:r>
            <w:r w:rsidRPr="004E71D5">
              <w:t xml:space="preserve"> €</w:t>
            </w:r>
          </w:p>
        </w:tc>
        <w:tc>
          <w:tcPr>
            <w:tcW w:w="993" w:type="dxa"/>
            <w:shd w:val="clear" w:color="auto" w:fill="FFFFFF" w:themeFill="background1"/>
          </w:tcPr>
          <w:p w:rsidR="008E3D4D" w:rsidRPr="004E71D5" w:rsidRDefault="00446C3C" w:rsidP="0016092C">
            <w:pPr>
              <w:spacing w:line="360" w:lineRule="auto"/>
              <w:jc w:val="center"/>
            </w:pPr>
            <w:r>
              <w:t>23.551</w:t>
            </w:r>
            <w:r w:rsidR="008E3D4D" w:rsidRPr="004E71D5">
              <w:t xml:space="preserve"> €</w:t>
            </w:r>
          </w:p>
        </w:tc>
        <w:tc>
          <w:tcPr>
            <w:tcW w:w="1275" w:type="dxa"/>
            <w:shd w:val="clear" w:color="auto" w:fill="FFFFFF" w:themeFill="background1"/>
          </w:tcPr>
          <w:p w:rsidR="008E3D4D" w:rsidRPr="004E71D5" w:rsidRDefault="008E3D4D" w:rsidP="0016092C">
            <w:pPr>
              <w:spacing w:line="360" w:lineRule="auto"/>
              <w:jc w:val="center"/>
            </w:pPr>
            <w:r w:rsidRPr="004E71D5">
              <w:t>26.810,45 €</w:t>
            </w:r>
          </w:p>
        </w:tc>
        <w:tc>
          <w:tcPr>
            <w:tcW w:w="1134" w:type="dxa"/>
            <w:shd w:val="clear" w:color="auto" w:fill="FFFFFF" w:themeFill="background1"/>
          </w:tcPr>
          <w:p w:rsidR="00446C3C" w:rsidRDefault="00446C3C" w:rsidP="0016092C">
            <w:pPr>
              <w:spacing w:line="360" w:lineRule="auto"/>
              <w:jc w:val="center"/>
            </w:pPr>
            <w:r>
              <w:t>23.</w:t>
            </w:r>
            <w:r w:rsidRPr="00446C3C">
              <w:t>835</w:t>
            </w:r>
          </w:p>
          <w:p w:rsidR="008E3D4D" w:rsidRPr="00446C3C" w:rsidRDefault="008E3D4D" w:rsidP="0016092C">
            <w:pPr>
              <w:spacing w:line="360" w:lineRule="auto"/>
              <w:jc w:val="center"/>
            </w:pPr>
            <w:r w:rsidRPr="00446C3C">
              <w:t>€</w:t>
            </w:r>
          </w:p>
        </w:tc>
        <w:tc>
          <w:tcPr>
            <w:tcW w:w="1242" w:type="dxa"/>
            <w:shd w:val="clear" w:color="auto" w:fill="FFFFFF" w:themeFill="background1"/>
          </w:tcPr>
          <w:p w:rsidR="00446C3C" w:rsidRPr="00446C3C" w:rsidRDefault="00446C3C" w:rsidP="0016092C">
            <w:pPr>
              <w:spacing w:line="360" w:lineRule="auto"/>
              <w:jc w:val="center"/>
              <w:rPr>
                <w:b/>
              </w:rPr>
            </w:pPr>
            <w:r w:rsidRPr="00446C3C">
              <w:rPr>
                <w:b/>
              </w:rPr>
              <w:t>29.958</w:t>
            </w:r>
          </w:p>
          <w:p w:rsidR="008E3D4D" w:rsidRPr="00446C3C" w:rsidRDefault="00446C3C" w:rsidP="0016092C">
            <w:pPr>
              <w:spacing w:line="360" w:lineRule="auto"/>
              <w:jc w:val="center"/>
              <w:rPr>
                <w:b/>
              </w:rPr>
            </w:pPr>
            <w:r w:rsidRPr="00446C3C">
              <w:rPr>
                <w:b/>
              </w:rPr>
              <w:t>€</w:t>
            </w:r>
          </w:p>
        </w:tc>
      </w:tr>
    </w:tbl>
    <w:p w:rsidR="00FF5868" w:rsidRPr="004E71D5" w:rsidRDefault="00FF5868" w:rsidP="00FF5868">
      <w:pPr>
        <w:spacing w:line="360" w:lineRule="auto"/>
        <w:ind w:firstLine="708"/>
        <w:jc w:val="both"/>
        <w:rPr>
          <w:b/>
          <w:i/>
        </w:rPr>
      </w:pPr>
    </w:p>
    <w:p w:rsidR="00FF5868" w:rsidRPr="004E71D5" w:rsidRDefault="001409CB" w:rsidP="00FF5868">
      <w:pPr>
        <w:spacing w:line="360" w:lineRule="auto"/>
        <w:jc w:val="both"/>
      </w:pPr>
      <w:r>
        <w:rPr>
          <w:bCs/>
          <w:iCs/>
        </w:rPr>
        <w:tab/>
      </w:r>
      <w:r w:rsidR="009A233D">
        <w:rPr>
          <w:bCs/>
          <w:iCs/>
        </w:rPr>
        <w:t>Turistická</w:t>
      </w:r>
      <w:r w:rsidR="00446C3C">
        <w:rPr>
          <w:bCs/>
          <w:iCs/>
        </w:rPr>
        <w:t xml:space="preserve"> sezóna na hrade v roku 2014 bola </w:t>
      </w:r>
      <w:r>
        <w:rPr>
          <w:bCs/>
          <w:iCs/>
        </w:rPr>
        <w:t>od založenia HMF doteraz najúspešnejšia</w:t>
      </w:r>
      <w:r w:rsidR="00446C3C">
        <w:rPr>
          <w:bCs/>
          <w:iCs/>
        </w:rPr>
        <w:t xml:space="preserve">. </w:t>
      </w:r>
      <w:r w:rsidR="00D00627" w:rsidRPr="00D00627">
        <w:rPr>
          <w:bCs/>
          <w:iCs/>
        </w:rPr>
        <w:t>Počet platiacich návštevníkov v roku 2014 v porovnaní s rokom 2013 narástol o 18% aj napriek tomu, že došlo k zníženiu  počtu vydaných kultúrnych poukazov Ministerstvom kultúry SR (na osobu 4 ks</w:t>
      </w:r>
      <w:r w:rsidR="00D00627">
        <w:rPr>
          <w:bCs/>
          <w:iCs/>
        </w:rPr>
        <w:t xml:space="preserve">). </w:t>
      </w:r>
      <w:r w:rsidR="00446C3C">
        <w:rPr>
          <w:bCs/>
          <w:iCs/>
        </w:rPr>
        <w:t xml:space="preserve">Priaznivé počiasie, ale </w:t>
      </w:r>
      <w:r w:rsidR="002A1BD7">
        <w:rPr>
          <w:bCs/>
          <w:iCs/>
        </w:rPr>
        <w:t xml:space="preserve">pravdepodobne aj </w:t>
      </w:r>
      <w:r w:rsidR="00446C3C">
        <w:rPr>
          <w:bCs/>
          <w:iCs/>
        </w:rPr>
        <w:t xml:space="preserve"> situácia, ktorá nastala </w:t>
      </w:r>
      <w:r w:rsidR="002A1BD7">
        <w:rPr>
          <w:bCs/>
          <w:iCs/>
        </w:rPr>
        <w:t xml:space="preserve">v roku 2012 </w:t>
      </w:r>
      <w:r w:rsidR="00446C3C">
        <w:rPr>
          <w:bCs/>
          <w:iCs/>
        </w:rPr>
        <w:t>v neďalekej, turisticky navštevovanej Krásnej Hôrke, sa podpís</w:t>
      </w:r>
      <w:r w:rsidR="002A1BD7">
        <w:rPr>
          <w:bCs/>
          <w:iCs/>
        </w:rPr>
        <w:t>ala na zvýšenej návštevnosti Fiľ</w:t>
      </w:r>
      <w:r w:rsidR="00446C3C">
        <w:rPr>
          <w:bCs/>
          <w:iCs/>
        </w:rPr>
        <w:t>akovského hradu.</w:t>
      </w:r>
      <w:r w:rsidR="00FF5868" w:rsidRPr="004E71D5">
        <w:rPr>
          <w:bCs/>
          <w:iCs/>
        </w:rPr>
        <w:t xml:space="preserve"> Celkový počet neplatiacich návštevníkov bol na hrade a v Mestskom vlastivednom múzeu: </w:t>
      </w:r>
      <w:r w:rsidR="002A1BD7">
        <w:rPr>
          <w:bCs/>
          <w:iCs/>
        </w:rPr>
        <w:t>5805</w:t>
      </w:r>
      <w:r w:rsidR="00FF5868" w:rsidRPr="004E71D5">
        <w:rPr>
          <w:bCs/>
          <w:iCs/>
        </w:rPr>
        <w:t xml:space="preserve">. Do tohto počtu sú zarátaní všetci návštevníci do 6 rokov a nad 70 rokov (podľa platného cenníka), hostia mesta (delegácie, členovia súborov vystupujúcich v meste), návštevníci podujatí HMF s voľným vstupom - vernisáže výstav a Noci múzeí, a podľa osobitnej dohody s vedením OZ Koháry aj návštevníci hlavného sobotňajšieho programu Historických hradných hier, ktorí mali po prenajatí areálu občianskym združením voľný vstup na hrad počas trvania podujatia (v rámci marketingu inštitúcie). Študenti a pedagógovia šiestich škôl, ktorí si zakúpili ročné permanentky z kultúrnych poukazov MK SR, sú započítaní raz ako platiaci a pri ostatných návštevách ako neplatiaci. Výnosy generované využívaním kultúrnych poukazov nie sú vykázané v príjmoch získaných zo vstupeniek, sú zahrnuté medzi finančné prostriedky získané zo štátnych grantových systémov pri prehľade projektov. </w:t>
      </w:r>
    </w:p>
    <w:p w:rsidR="00FF5868" w:rsidRPr="004E71D5" w:rsidRDefault="00FF5868" w:rsidP="00FF5868">
      <w:pPr>
        <w:spacing w:line="360" w:lineRule="auto"/>
        <w:jc w:val="both"/>
        <w:rPr>
          <w:b/>
        </w:rPr>
      </w:pPr>
    </w:p>
    <w:p w:rsidR="00FF5868" w:rsidRDefault="00FF5868" w:rsidP="00FF5868">
      <w:pPr>
        <w:spacing w:line="360" w:lineRule="auto"/>
        <w:jc w:val="both"/>
        <w:rPr>
          <w:b/>
        </w:rPr>
      </w:pPr>
      <w:r w:rsidRPr="004E71D5">
        <w:rPr>
          <w:b/>
        </w:rPr>
        <w:t>IV. Vedecko-výskumná, metodická a prednášková činnosť</w:t>
      </w:r>
    </w:p>
    <w:p w:rsidR="009A233D" w:rsidRDefault="009A233D" w:rsidP="00FF5868">
      <w:pPr>
        <w:spacing w:line="360" w:lineRule="auto"/>
        <w:jc w:val="both"/>
        <w:rPr>
          <w:b/>
        </w:rPr>
      </w:pPr>
    </w:p>
    <w:p w:rsidR="00FF5868" w:rsidRPr="004E71D5" w:rsidRDefault="002A1BD7" w:rsidP="009A233D">
      <w:pPr>
        <w:spacing w:line="360" w:lineRule="auto"/>
        <w:jc w:val="both"/>
        <w:rPr>
          <w:b/>
        </w:rPr>
      </w:pPr>
      <w:r>
        <w:t xml:space="preserve">V r. 2014 riešilo HMF  tri </w:t>
      </w:r>
      <w:r w:rsidR="00FF5868" w:rsidRPr="004E71D5">
        <w:t>vedecko-výskumné úlohy:</w:t>
      </w:r>
      <w:r w:rsidR="00FF5868" w:rsidRPr="004E71D5">
        <w:rPr>
          <w: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3289"/>
        <w:gridCol w:w="1701"/>
        <w:gridCol w:w="1842"/>
        <w:gridCol w:w="1134"/>
        <w:gridCol w:w="1134"/>
      </w:tblGrid>
      <w:tr w:rsidR="00FF5868" w:rsidRPr="004E71D5" w:rsidTr="0016092C">
        <w:trPr>
          <w:cantSplit/>
        </w:trPr>
        <w:tc>
          <w:tcPr>
            <w:tcW w:w="3289" w:type="dxa"/>
            <w:shd w:val="clear" w:color="auto" w:fill="C0C0C0"/>
            <w:vAlign w:val="center"/>
          </w:tcPr>
          <w:p w:rsidR="00FF5868" w:rsidRPr="004E71D5" w:rsidRDefault="00FF5868" w:rsidP="0016092C">
            <w:pPr>
              <w:pStyle w:val="StylTableHeadText"/>
              <w:spacing w:afterAutospacing="0" w:line="360" w:lineRule="auto"/>
              <w:rPr>
                <w:rFonts w:ascii="Times New Roman" w:hAnsi="Times New Roman"/>
                <w:sz w:val="20"/>
                <w:lang w:val="sk-SK"/>
              </w:rPr>
            </w:pPr>
            <w:r w:rsidRPr="004E71D5">
              <w:rPr>
                <w:rFonts w:ascii="Times New Roman" w:hAnsi="Times New Roman"/>
                <w:sz w:val="20"/>
                <w:lang w:val="sk-SK"/>
              </w:rPr>
              <w:t>Názov úlohy:</w:t>
            </w:r>
          </w:p>
        </w:tc>
        <w:tc>
          <w:tcPr>
            <w:tcW w:w="1701" w:type="dxa"/>
            <w:shd w:val="clear" w:color="auto" w:fill="C0C0C0"/>
            <w:vAlign w:val="center"/>
          </w:tcPr>
          <w:p w:rsidR="00FF5868" w:rsidRPr="004E71D5" w:rsidRDefault="00FF5868" w:rsidP="0016092C">
            <w:pPr>
              <w:pStyle w:val="StylTableHeadText"/>
              <w:spacing w:afterAutospacing="0" w:line="360" w:lineRule="auto"/>
              <w:rPr>
                <w:rFonts w:ascii="Times New Roman" w:hAnsi="Times New Roman"/>
                <w:sz w:val="20"/>
                <w:lang w:val="sk-SK"/>
              </w:rPr>
            </w:pPr>
            <w:r w:rsidRPr="004E71D5">
              <w:rPr>
                <w:rFonts w:ascii="Times New Roman" w:hAnsi="Times New Roman"/>
                <w:sz w:val="20"/>
                <w:lang w:val="sk-SK"/>
              </w:rPr>
              <w:t>Riešitelia:</w:t>
            </w:r>
          </w:p>
        </w:tc>
        <w:tc>
          <w:tcPr>
            <w:tcW w:w="1842" w:type="dxa"/>
            <w:shd w:val="clear" w:color="auto" w:fill="C0C0C0"/>
            <w:vAlign w:val="center"/>
          </w:tcPr>
          <w:p w:rsidR="00FF5868" w:rsidRPr="004E71D5" w:rsidRDefault="00FF5868" w:rsidP="0016092C">
            <w:pPr>
              <w:pStyle w:val="StylTableHeadText"/>
              <w:spacing w:afterAutospacing="0" w:line="360" w:lineRule="auto"/>
              <w:rPr>
                <w:rFonts w:ascii="Times New Roman" w:hAnsi="Times New Roman"/>
                <w:sz w:val="20"/>
                <w:lang w:val="sk-SK"/>
              </w:rPr>
            </w:pPr>
            <w:r w:rsidRPr="004E71D5">
              <w:rPr>
                <w:rFonts w:ascii="Times New Roman" w:hAnsi="Times New Roman"/>
                <w:sz w:val="20"/>
                <w:lang w:val="sk-SK"/>
              </w:rPr>
              <w:t>Trvanie:</w:t>
            </w:r>
          </w:p>
        </w:tc>
        <w:tc>
          <w:tcPr>
            <w:tcW w:w="1134" w:type="dxa"/>
            <w:shd w:val="clear" w:color="auto" w:fill="C0C0C0"/>
            <w:vAlign w:val="center"/>
          </w:tcPr>
          <w:p w:rsidR="00FF5868" w:rsidRPr="004E71D5" w:rsidRDefault="00FF5868" w:rsidP="0016092C">
            <w:pPr>
              <w:pStyle w:val="StylTableHeadText"/>
              <w:spacing w:afterAutospacing="0" w:line="360" w:lineRule="auto"/>
              <w:rPr>
                <w:rFonts w:ascii="Times New Roman" w:hAnsi="Times New Roman"/>
                <w:sz w:val="20"/>
                <w:lang w:val="sk-SK"/>
              </w:rPr>
            </w:pPr>
            <w:r w:rsidRPr="004E71D5">
              <w:rPr>
                <w:rFonts w:ascii="Times New Roman" w:hAnsi="Times New Roman"/>
                <w:sz w:val="20"/>
                <w:lang w:val="sk-SK"/>
              </w:rPr>
              <w:t>Odbor:</w:t>
            </w:r>
          </w:p>
        </w:tc>
        <w:tc>
          <w:tcPr>
            <w:tcW w:w="1134" w:type="dxa"/>
            <w:shd w:val="clear" w:color="auto" w:fill="C0C0C0"/>
            <w:vAlign w:val="center"/>
          </w:tcPr>
          <w:p w:rsidR="00FF5868" w:rsidRPr="004E71D5" w:rsidRDefault="00FF5868" w:rsidP="0016092C">
            <w:pPr>
              <w:pStyle w:val="StylTableHeadText"/>
              <w:spacing w:afterAutospacing="0" w:line="360" w:lineRule="auto"/>
              <w:rPr>
                <w:rFonts w:ascii="Times New Roman" w:hAnsi="Times New Roman"/>
                <w:sz w:val="20"/>
                <w:lang w:val="sk-SK"/>
              </w:rPr>
            </w:pPr>
            <w:r w:rsidRPr="004E71D5">
              <w:rPr>
                <w:rFonts w:ascii="Times New Roman" w:hAnsi="Times New Roman"/>
                <w:sz w:val="20"/>
                <w:lang w:val="sk-SK"/>
              </w:rPr>
              <w:t>Výstup:</w:t>
            </w:r>
          </w:p>
        </w:tc>
      </w:tr>
      <w:tr w:rsidR="00FF5868" w:rsidRPr="004E71D5" w:rsidTr="0016092C">
        <w:trPr>
          <w:cantSplit/>
        </w:trPr>
        <w:tc>
          <w:tcPr>
            <w:tcW w:w="3289" w:type="dxa"/>
            <w:vAlign w:val="center"/>
          </w:tcPr>
          <w:p w:rsidR="00FF5868" w:rsidRPr="004E71D5" w:rsidRDefault="00FF5868" w:rsidP="0016092C">
            <w:pPr>
              <w:pStyle w:val="StylTableText"/>
              <w:spacing w:afterAutospacing="0" w:line="360" w:lineRule="auto"/>
              <w:rPr>
                <w:rFonts w:ascii="Times New Roman" w:hAnsi="Times New Roman"/>
                <w:sz w:val="20"/>
                <w:lang w:val="sk-SK"/>
              </w:rPr>
            </w:pPr>
            <w:r w:rsidRPr="004E71D5">
              <w:rPr>
                <w:rFonts w:ascii="Times New Roman" w:hAnsi="Times New Roman"/>
                <w:sz w:val="20"/>
                <w:lang w:val="sk-SK"/>
              </w:rPr>
              <w:t>Výskum dolného hradu</w:t>
            </w:r>
          </w:p>
        </w:tc>
        <w:tc>
          <w:tcPr>
            <w:tcW w:w="1701" w:type="dxa"/>
            <w:vAlign w:val="center"/>
          </w:tcPr>
          <w:p w:rsidR="00FF5868" w:rsidRPr="004E71D5" w:rsidRDefault="00FF5868" w:rsidP="0016092C">
            <w:pPr>
              <w:pStyle w:val="StylTableText"/>
              <w:spacing w:afterAutospacing="0" w:line="360" w:lineRule="auto"/>
              <w:rPr>
                <w:rFonts w:ascii="Times New Roman" w:hAnsi="Times New Roman"/>
                <w:sz w:val="20"/>
                <w:lang w:val="sk-SK"/>
              </w:rPr>
            </w:pPr>
            <w:r w:rsidRPr="004E71D5">
              <w:rPr>
                <w:rFonts w:ascii="Times New Roman" w:hAnsi="Times New Roman"/>
                <w:sz w:val="20"/>
                <w:lang w:val="sk-SK"/>
              </w:rPr>
              <w:t>Mgr. Viktória Tittonová</w:t>
            </w:r>
            <w:r w:rsidR="002A1BD7">
              <w:rPr>
                <w:rFonts w:ascii="Times New Roman" w:hAnsi="Times New Roman"/>
                <w:sz w:val="20"/>
                <w:lang w:val="sk-SK"/>
              </w:rPr>
              <w:t>, PhD.</w:t>
            </w:r>
          </w:p>
        </w:tc>
        <w:tc>
          <w:tcPr>
            <w:tcW w:w="1842" w:type="dxa"/>
            <w:vAlign w:val="center"/>
          </w:tcPr>
          <w:p w:rsidR="00FF5868" w:rsidRPr="004E71D5" w:rsidRDefault="00FF5868" w:rsidP="0016092C">
            <w:pPr>
              <w:pStyle w:val="StylTableText"/>
              <w:spacing w:afterAutospacing="0" w:line="360" w:lineRule="auto"/>
              <w:rPr>
                <w:rFonts w:ascii="Times New Roman" w:hAnsi="Times New Roman"/>
                <w:sz w:val="20"/>
                <w:lang w:val="sk-SK"/>
              </w:rPr>
            </w:pPr>
            <w:r w:rsidRPr="004E71D5">
              <w:rPr>
                <w:rFonts w:ascii="Times New Roman" w:hAnsi="Times New Roman"/>
                <w:sz w:val="20"/>
                <w:lang w:val="sk-SK"/>
              </w:rPr>
              <w:t>2011 – dlhodobá úloha</w:t>
            </w:r>
          </w:p>
        </w:tc>
        <w:tc>
          <w:tcPr>
            <w:tcW w:w="1134" w:type="dxa"/>
            <w:vAlign w:val="center"/>
          </w:tcPr>
          <w:p w:rsidR="00FF5868" w:rsidRPr="004E71D5" w:rsidRDefault="00FF5868" w:rsidP="0016092C">
            <w:pPr>
              <w:pStyle w:val="StylTableText"/>
              <w:spacing w:afterAutospacing="0" w:line="360" w:lineRule="auto"/>
              <w:rPr>
                <w:rFonts w:ascii="Times New Roman" w:hAnsi="Times New Roman"/>
                <w:sz w:val="20"/>
                <w:lang w:val="sk-SK"/>
              </w:rPr>
            </w:pPr>
            <w:r w:rsidRPr="004E71D5">
              <w:rPr>
                <w:rFonts w:ascii="Times New Roman" w:hAnsi="Times New Roman"/>
                <w:sz w:val="20"/>
                <w:lang w:val="sk-SK"/>
              </w:rPr>
              <w:t>archeológia</w:t>
            </w:r>
          </w:p>
        </w:tc>
        <w:tc>
          <w:tcPr>
            <w:tcW w:w="1134" w:type="dxa"/>
            <w:vAlign w:val="center"/>
          </w:tcPr>
          <w:p w:rsidR="00FF5868" w:rsidRPr="004E71D5" w:rsidRDefault="001409CB" w:rsidP="0016092C">
            <w:pPr>
              <w:pStyle w:val="StylTableText"/>
              <w:spacing w:afterAutospacing="0" w:line="360" w:lineRule="auto"/>
              <w:rPr>
                <w:rFonts w:ascii="Times New Roman" w:hAnsi="Times New Roman"/>
                <w:sz w:val="20"/>
                <w:lang w:val="sk-SK"/>
              </w:rPr>
            </w:pPr>
            <w:r w:rsidRPr="004E71D5">
              <w:rPr>
                <w:rFonts w:ascii="Times New Roman" w:hAnsi="Times New Roman"/>
                <w:sz w:val="20"/>
                <w:lang w:val="sk-SK"/>
              </w:rPr>
              <w:t>A</w:t>
            </w:r>
            <w:r w:rsidR="00FF5868" w:rsidRPr="004E71D5">
              <w:rPr>
                <w:rFonts w:ascii="Times New Roman" w:hAnsi="Times New Roman"/>
                <w:sz w:val="20"/>
                <w:lang w:val="sk-SK"/>
              </w:rPr>
              <w:t>kvizícia</w:t>
            </w:r>
            <w:r>
              <w:rPr>
                <w:rFonts w:ascii="Times New Roman" w:hAnsi="Times New Roman"/>
                <w:sz w:val="20"/>
                <w:lang w:val="sk-SK"/>
              </w:rPr>
              <w:t>, článok v odb. tlači</w:t>
            </w:r>
          </w:p>
        </w:tc>
      </w:tr>
      <w:tr w:rsidR="00FF5868" w:rsidRPr="004E71D5" w:rsidTr="0016092C">
        <w:trPr>
          <w:cantSplit/>
        </w:trPr>
        <w:tc>
          <w:tcPr>
            <w:tcW w:w="3289" w:type="dxa"/>
            <w:vAlign w:val="center"/>
          </w:tcPr>
          <w:p w:rsidR="00FF5868" w:rsidRPr="004E71D5" w:rsidRDefault="00FF5868" w:rsidP="0016092C">
            <w:pPr>
              <w:pStyle w:val="StylTableText"/>
              <w:spacing w:afterAutospacing="0" w:line="360" w:lineRule="auto"/>
              <w:rPr>
                <w:rFonts w:ascii="Times New Roman" w:hAnsi="Times New Roman"/>
                <w:sz w:val="20"/>
                <w:lang w:val="sk-SK"/>
              </w:rPr>
            </w:pPr>
            <w:r w:rsidRPr="004E71D5">
              <w:rPr>
                <w:rFonts w:ascii="Times New Roman" w:hAnsi="Times New Roman"/>
                <w:sz w:val="20"/>
                <w:lang w:val="sk-SK"/>
              </w:rPr>
              <w:t>Migračné toky novohradských kamenárov</w:t>
            </w:r>
          </w:p>
        </w:tc>
        <w:tc>
          <w:tcPr>
            <w:tcW w:w="1701" w:type="dxa"/>
            <w:vAlign w:val="center"/>
          </w:tcPr>
          <w:p w:rsidR="00FF5868" w:rsidRPr="004E71D5" w:rsidRDefault="00FF5868" w:rsidP="0016092C">
            <w:pPr>
              <w:pStyle w:val="StylTableText"/>
              <w:spacing w:afterAutospacing="0" w:line="360" w:lineRule="auto"/>
              <w:rPr>
                <w:rFonts w:ascii="Times New Roman" w:hAnsi="Times New Roman"/>
                <w:sz w:val="20"/>
                <w:lang w:val="sk-SK"/>
              </w:rPr>
            </w:pPr>
            <w:r w:rsidRPr="004E71D5">
              <w:rPr>
                <w:rFonts w:ascii="Times New Roman" w:hAnsi="Times New Roman"/>
                <w:sz w:val="20"/>
                <w:lang w:val="sk-SK"/>
              </w:rPr>
              <w:t>Mgr. Attila Agócs</w:t>
            </w:r>
            <w:r w:rsidR="001409CB">
              <w:rPr>
                <w:rFonts w:ascii="Times New Roman" w:hAnsi="Times New Roman"/>
                <w:sz w:val="20"/>
                <w:lang w:val="sk-SK"/>
              </w:rPr>
              <w:t>, PhD.</w:t>
            </w:r>
          </w:p>
        </w:tc>
        <w:tc>
          <w:tcPr>
            <w:tcW w:w="1842" w:type="dxa"/>
            <w:vAlign w:val="center"/>
          </w:tcPr>
          <w:p w:rsidR="00FF5868" w:rsidRPr="004E71D5" w:rsidRDefault="00FF5868" w:rsidP="0016092C">
            <w:pPr>
              <w:pStyle w:val="StylTableText"/>
              <w:spacing w:afterAutospacing="0" w:line="360" w:lineRule="auto"/>
              <w:rPr>
                <w:rFonts w:ascii="Times New Roman" w:hAnsi="Times New Roman"/>
                <w:sz w:val="20"/>
                <w:lang w:val="sk-SK"/>
              </w:rPr>
            </w:pPr>
            <w:r w:rsidRPr="004E71D5">
              <w:rPr>
                <w:rFonts w:ascii="Times New Roman" w:hAnsi="Times New Roman"/>
                <w:sz w:val="20"/>
                <w:lang w:val="sk-SK"/>
              </w:rPr>
              <w:t>2012 - dlhodobá úloha</w:t>
            </w:r>
          </w:p>
        </w:tc>
        <w:tc>
          <w:tcPr>
            <w:tcW w:w="1134" w:type="dxa"/>
            <w:vAlign w:val="center"/>
          </w:tcPr>
          <w:p w:rsidR="00FF5868" w:rsidRPr="004E71D5" w:rsidRDefault="00FF5868" w:rsidP="0016092C">
            <w:pPr>
              <w:pStyle w:val="StylTableText"/>
              <w:spacing w:afterAutospacing="0" w:line="360" w:lineRule="auto"/>
              <w:rPr>
                <w:rFonts w:ascii="Times New Roman" w:hAnsi="Times New Roman"/>
                <w:sz w:val="20"/>
                <w:lang w:val="sk-SK"/>
              </w:rPr>
            </w:pPr>
            <w:r w:rsidRPr="004E71D5">
              <w:rPr>
                <w:rFonts w:ascii="Times New Roman" w:hAnsi="Times New Roman"/>
                <w:sz w:val="20"/>
                <w:lang w:val="sk-SK"/>
              </w:rPr>
              <w:t>etnografia</w:t>
            </w:r>
          </w:p>
        </w:tc>
        <w:tc>
          <w:tcPr>
            <w:tcW w:w="1134" w:type="dxa"/>
            <w:vAlign w:val="center"/>
          </w:tcPr>
          <w:p w:rsidR="00FF5868" w:rsidRPr="004E71D5" w:rsidRDefault="001409CB" w:rsidP="0016092C">
            <w:pPr>
              <w:pStyle w:val="StylTableText"/>
              <w:spacing w:afterAutospacing="0" w:line="360" w:lineRule="auto"/>
              <w:rPr>
                <w:rFonts w:ascii="Times New Roman" w:hAnsi="Times New Roman"/>
                <w:sz w:val="20"/>
                <w:lang w:val="sk-SK"/>
              </w:rPr>
            </w:pPr>
            <w:r w:rsidRPr="004E71D5">
              <w:rPr>
                <w:rFonts w:ascii="Times New Roman" w:hAnsi="Times New Roman"/>
                <w:sz w:val="20"/>
                <w:lang w:val="sk-SK"/>
              </w:rPr>
              <w:t>M</w:t>
            </w:r>
            <w:r w:rsidR="00FF5868" w:rsidRPr="004E71D5">
              <w:rPr>
                <w:rFonts w:ascii="Times New Roman" w:hAnsi="Times New Roman"/>
                <w:sz w:val="20"/>
                <w:lang w:val="sk-SK"/>
              </w:rPr>
              <w:t>onografia</w:t>
            </w:r>
            <w:r>
              <w:rPr>
                <w:rFonts w:ascii="Times New Roman" w:hAnsi="Times New Roman"/>
                <w:sz w:val="20"/>
                <w:lang w:val="sk-SK"/>
              </w:rPr>
              <w:t>, scenár výstavy</w:t>
            </w:r>
          </w:p>
        </w:tc>
      </w:tr>
      <w:tr w:rsidR="00FF5868" w:rsidRPr="001409CB" w:rsidTr="0016092C">
        <w:trPr>
          <w:cantSplit/>
        </w:trPr>
        <w:tc>
          <w:tcPr>
            <w:tcW w:w="3289" w:type="dxa"/>
            <w:vAlign w:val="center"/>
          </w:tcPr>
          <w:p w:rsidR="00FF5868" w:rsidRPr="001409CB" w:rsidRDefault="001409CB" w:rsidP="0016092C">
            <w:pPr>
              <w:pStyle w:val="StylTableText"/>
              <w:spacing w:afterAutospacing="0" w:line="360" w:lineRule="auto"/>
              <w:rPr>
                <w:rFonts w:ascii="Times New Roman" w:hAnsi="Times New Roman"/>
                <w:sz w:val="20"/>
                <w:lang w:val="sk-SK"/>
              </w:rPr>
            </w:pPr>
            <w:r w:rsidRPr="001409CB">
              <w:rPr>
                <w:rFonts w:ascii="Times New Roman" w:hAnsi="Times New Roman"/>
                <w:sz w:val="20"/>
              </w:rPr>
              <w:t>Obdobie II. svetovej vojny vo Fiľakove a jeho okolí</w:t>
            </w:r>
          </w:p>
        </w:tc>
        <w:tc>
          <w:tcPr>
            <w:tcW w:w="1701" w:type="dxa"/>
            <w:vAlign w:val="center"/>
          </w:tcPr>
          <w:p w:rsidR="00FF5868" w:rsidRPr="001409CB" w:rsidRDefault="001409CB" w:rsidP="0016092C">
            <w:pPr>
              <w:pStyle w:val="StylTableText"/>
              <w:spacing w:afterAutospacing="0" w:line="360" w:lineRule="auto"/>
              <w:rPr>
                <w:rFonts w:ascii="Times New Roman" w:hAnsi="Times New Roman"/>
                <w:sz w:val="20"/>
                <w:lang w:val="sk-SK"/>
              </w:rPr>
            </w:pPr>
            <w:r w:rsidRPr="001409CB">
              <w:rPr>
                <w:rFonts w:ascii="Times New Roman" w:hAnsi="Times New Roman"/>
                <w:sz w:val="20"/>
              </w:rPr>
              <w:t>Gábor Illés</w:t>
            </w:r>
          </w:p>
        </w:tc>
        <w:tc>
          <w:tcPr>
            <w:tcW w:w="1842" w:type="dxa"/>
            <w:vAlign w:val="center"/>
          </w:tcPr>
          <w:p w:rsidR="00FF5868" w:rsidRPr="001409CB" w:rsidRDefault="001409CB" w:rsidP="0016092C">
            <w:pPr>
              <w:pStyle w:val="StylTableText"/>
              <w:spacing w:afterAutospacing="0" w:line="360" w:lineRule="auto"/>
              <w:rPr>
                <w:rFonts w:ascii="Times New Roman" w:hAnsi="Times New Roman"/>
                <w:sz w:val="20"/>
                <w:lang w:val="sk-SK"/>
              </w:rPr>
            </w:pPr>
            <w:r w:rsidRPr="001409CB">
              <w:rPr>
                <w:rFonts w:ascii="Times New Roman" w:hAnsi="Times New Roman"/>
                <w:sz w:val="20"/>
              </w:rPr>
              <w:t>2014 - dlhodobá úloha</w:t>
            </w:r>
          </w:p>
        </w:tc>
        <w:tc>
          <w:tcPr>
            <w:tcW w:w="1134" w:type="dxa"/>
            <w:vAlign w:val="center"/>
          </w:tcPr>
          <w:p w:rsidR="00FF5868" w:rsidRPr="001409CB" w:rsidRDefault="00FF5868" w:rsidP="0016092C">
            <w:pPr>
              <w:pStyle w:val="StylTableText"/>
              <w:spacing w:afterAutospacing="0" w:line="360" w:lineRule="auto"/>
              <w:rPr>
                <w:rFonts w:ascii="Times New Roman" w:hAnsi="Times New Roman"/>
                <w:sz w:val="20"/>
                <w:lang w:val="sk-SK"/>
              </w:rPr>
            </w:pPr>
            <w:r w:rsidRPr="001409CB">
              <w:rPr>
                <w:rFonts w:ascii="Times New Roman" w:hAnsi="Times New Roman"/>
                <w:sz w:val="20"/>
                <w:lang w:val="sk-SK"/>
              </w:rPr>
              <w:t>história</w:t>
            </w:r>
          </w:p>
        </w:tc>
        <w:tc>
          <w:tcPr>
            <w:tcW w:w="1134" w:type="dxa"/>
            <w:vAlign w:val="center"/>
          </w:tcPr>
          <w:p w:rsidR="00FF5868" w:rsidRPr="001409CB" w:rsidRDefault="001409CB" w:rsidP="0016092C">
            <w:pPr>
              <w:pStyle w:val="StylTableText"/>
              <w:spacing w:afterAutospacing="0" w:line="360" w:lineRule="auto"/>
              <w:rPr>
                <w:rFonts w:ascii="Times New Roman" w:hAnsi="Times New Roman"/>
                <w:sz w:val="20"/>
                <w:lang w:val="sk-SK"/>
              </w:rPr>
            </w:pPr>
            <w:r w:rsidRPr="001409CB">
              <w:rPr>
                <w:rFonts w:ascii="Times New Roman" w:hAnsi="Times New Roman"/>
                <w:sz w:val="20"/>
                <w:lang w:val="sk-SK"/>
              </w:rPr>
              <w:t>iné</w:t>
            </w:r>
          </w:p>
        </w:tc>
      </w:tr>
    </w:tbl>
    <w:p w:rsidR="00FF5868" w:rsidRPr="004E71D5" w:rsidRDefault="00FF5868" w:rsidP="00FF5868">
      <w:pPr>
        <w:spacing w:line="360" w:lineRule="auto"/>
        <w:jc w:val="both"/>
        <w:rPr>
          <w:b/>
        </w:rPr>
      </w:pPr>
    </w:p>
    <w:p w:rsidR="00FF5868" w:rsidRDefault="00FF5868" w:rsidP="00FF5868">
      <w:pPr>
        <w:spacing w:line="360" w:lineRule="auto"/>
        <w:jc w:val="both"/>
      </w:pPr>
      <w:r w:rsidRPr="004E71D5">
        <w:tab/>
        <w:t xml:space="preserve">Výskum dolného hradu vykonávali dodávateľsky zamestnanci Vysunutého pracoviska Archeologického ústavu Slovenskej akadémie vied (SAV) vo Zvolene. Mgr. </w:t>
      </w:r>
      <w:r w:rsidR="001409CB">
        <w:t xml:space="preserve">Viktória </w:t>
      </w:r>
      <w:r w:rsidRPr="004E71D5">
        <w:t>Tittonová</w:t>
      </w:r>
      <w:r w:rsidR="001409CB">
        <w:t>, PhD.</w:t>
      </w:r>
      <w:r w:rsidRPr="004E71D5">
        <w:t xml:space="preserve"> spolupracovala na výskume ako zamestnankyňa HMF a bola aj spoluautorkou výskumnej správy, pomocných robotníkov zabezpečilo Mesto Fiľakovo cez program aktivačných prác. Výskumu sa v rámci </w:t>
      </w:r>
      <w:r w:rsidR="001409CB">
        <w:t>Tábora skrášľovania hradu</w:t>
      </w:r>
      <w:r w:rsidRPr="004E71D5">
        <w:t xml:space="preserve"> </w:t>
      </w:r>
      <w:r w:rsidR="001409CB">
        <w:t xml:space="preserve">zúčastnili aj žiaci vyšších ročníkov ZŠ a žiaci stredných škôl zo Slovenska a Maďarska. </w:t>
      </w:r>
      <w:r w:rsidRPr="004E71D5">
        <w:t>Počas výskumnej sezóny</w:t>
      </w:r>
      <w:r w:rsidR="001409CB">
        <w:t xml:space="preserve"> 2014</w:t>
      </w:r>
      <w:r w:rsidRPr="004E71D5">
        <w:t xml:space="preserve"> sa </w:t>
      </w:r>
      <w:r w:rsidR="001409CB">
        <w:rPr>
          <w:bCs/>
          <w:iCs/>
        </w:rPr>
        <w:t>skúmali nálezové situácie vrámci pravekých s</w:t>
      </w:r>
      <w:r w:rsidR="00527ED8">
        <w:rPr>
          <w:bCs/>
          <w:iCs/>
        </w:rPr>
        <w:t>ídliskových vrstiev na úseku 5</w:t>
      </w:r>
      <w:r w:rsidR="001409CB">
        <w:rPr>
          <w:bCs/>
          <w:iCs/>
        </w:rPr>
        <w:t xml:space="preserve"> – 7 m Sondy I/11. </w:t>
      </w:r>
      <w:r w:rsidR="00527ED8">
        <w:rPr>
          <w:bCs/>
          <w:iCs/>
        </w:rPr>
        <w:t xml:space="preserve">Rozlíšilo sa niekoľko subhorizontov uvedenej vrstvy, kde pravažoval praveký nálezový materiál, fragmenty </w:t>
      </w:r>
      <w:r w:rsidR="001409CB">
        <w:rPr>
          <w:bCs/>
          <w:iCs/>
        </w:rPr>
        <w:t xml:space="preserve">eneolitickej </w:t>
      </w:r>
      <w:r w:rsidR="001409CB" w:rsidRPr="00527ED8">
        <w:rPr>
          <w:bCs/>
          <w:iCs/>
        </w:rPr>
        <w:t>keramiky</w:t>
      </w:r>
      <w:r w:rsidRPr="00527ED8">
        <w:rPr>
          <w:bCs/>
          <w:iCs/>
        </w:rPr>
        <w:t xml:space="preserve"> </w:t>
      </w:r>
      <w:proofErr w:type="spellStart"/>
      <w:r w:rsidR="00527ED8" w:rsidRPr="00527ED8">
        <w:rPr>
          <w:rFonts w:eastAsia="TimesNewRomanPSMT"/>
          <w:noProof w:val="0"/>
          <w:color w:val="2B2A29"/>
          <w:lang w:eastAsia="en-US"/>
        </w:rPr>
        <w:t>neskorobadenskej</w:t>
      </w:r>
      <w:proofErr w:type="spellEnd"/>
      <w:r w:rsidR="00527ED8" w:rsidRPr="00527ED8">
        <w:rPr>
          <w:rFonts w:eastAsia="TimesNewRomanPSMT"/>
          <w:noProof w:val="0"/>
          <w:color w:val="2B2A29"/>
          <w:lang w:eastAsia="en-US"/>
        </w:rPr>
        <w:t xml:space="preserve"> skupiny </w:t>
      </w:r>
      <w:proofErr w:type="spellStart"/>
      <w:r w:rsidR="00527ED8" w:rsidRPr="00527ED8">
        <w:rPr>
          <w:rFonts w:eastAsia="TimesNewRomanPSMT"/>
          <w:noProof w:val="0"/>
          <w:color w:val="2B2A29"/>
          <w:lang w:eastAsia="en-US"/>
        </w:rPr>
        <w:t>Ózd</w:t>
      </w:r>
      <w:proofErr w:type="spellEnd"/>
      <w:r w:rsidR="00527ED8" w:rsidRPr="00527ED8">
        <w:rPr>
          <w:bCs/>
          <w:iCs/>
        </w:rPr>
        <w:t>,</w:t>
      </w:r>
      <w:r w:rsidR="001409CB" w:rsidRPr="00527ED8">
        <w:rPr>
          <w:bCs/>
          <w:iCs/>
        </w:rPr>
        <w:t xml:space="preserve"> štiepaná </w:t>
      </w:r>
      <w:r w:rsidR="001409CB">
        <w:rPr>
          <w:bCs/>
          <w:iCs/>
        </w:rPr>
        <w:t>kamenná industria a</w:t>
      </w:r>
      <w:r w:rsidR="00527ED8">
        <w:rPr>
          <w:bCs/>
          <w:iCs/>
        </w:rPr>
        <w:t xml:space="preserve"> prasleny, ale aj zvyšky sladkovodných mušlí a zvieracích kostí. </w:t>
      </w:r>
      <w:r w:rsidR="00527ED8">
        <w:rPr>
          <w:bCs/>
          <w:iCs/>
        </w:rPr>
        <w:tab/>
      </w:r>
      <w:r w:rsidRPr="004E71D5">
        <w:rPr>
          <w:bCs/>
          <w:iCs/>
        </w:rPr>
        <w:t>V rámci výskumu „</w:t>
      </w:r>
      <w:r w:rsidR="00527ED8">
        <w:t>Migračných tokov novohradských kamenárov</w:t>
      </w:r>
      <w:r w:rsidRPr="004E71D5">
        <w:t xml:space="preserve">“, realizovaného </w:t>
      </w:r>
      <w:r w:rsidR="00527ED8">
        <w:t xml:space="preserve">bývalým riaditeľom HMF </w:t>
      </w:r>
      <w:r w:rsidR="00D00627">
        <w:t xml:space="preserve">Mgr. Attilom Agócsom, PhD., </w:t>
      </w:r>
      <w:r w:rsidR="00527ED8">
        <w:t>sa</w:t>
      </w:r>
      <w:r w:rsidRPr="004E71D5">
        <w:t xml:space="preserve"> dokumentovali „oral history“ rozhovory s informátormi z okolitých obcí zasiahnutých migračnými vlnami </w:t>
      </w:r>
      <w:r w:rsidR="00527ED8">
        <w:t xml:space="preserve">talianských kamenárov v </w:t>
      </w:r>
      <w:r w:rsidRPr="004E71D5">
        <w:t>20. stor</w:t>
      </w:r>
      <w:r w:rsidR="00527ED8">
        <w:t>.</w:t>
      </w:r>
      <w:r w:rsidR="00D00627">
        <w:t xml:space="preserve"> a získal sa hodnotný materiál (opracované čadičové kamene, ktoré sa stali súčasťou zbierkového fondu HMF, dobové dokumenty a fotografie). Výstupom tohto výskumu sa stala výstava s názvom: „Kamenári a kamené kvety“, realizovaná v MVM v roku 2015.</w:t>
      </w:r>
    </w:p>
    <w:p w:rsidR="00FF5868" w:rsidRPr="004E71D5" w:rsidRDefault="009A233D" w:rsidP="00FF5868">
      <w:pPr>
        <w:spacing w:line="360" w:lineRule="auto"/>
        <w:ind w:firstLine="708"/>
        <w:jc w:val="both"/>
      </w:pPr>
      <w:r>
        <w:t>Zväz</w:t>
      </w:r>
      <w:r w:rsidR="00FF5868" w:rsidRPr="004E71D5">
        <w:t xml:space="preserve"> múzeí na Slovensku</w:t>
      </w:r>
      <w:r w:rsidR="00D00627">
        <w:t xml:space="preserve"> každoročne uspo</w:t>
      </w:r>
      <w:r w:rsidR="00725F72">
        <w:t xml:space="preserve">riada </w:t>
      </w:r>
      <w:r>
        <w:t xml:space="preserve">odborné podujatie </w:t>
      </w:r>
      <w:r w:rsidRPr="009A233D">
        <w:rPr>
          <w:b/>
          <w:i/>
        </w:rPr>
        <w:t>„</w:t>
      </w:r>
      <w:r w:rsidR="00725F72" w:rsidRPr="009A233D">
        <w:rPr>
          <w:b/>
          <w:i/>
        </w:rPr>
        <w:t>Festival múzeí</w:t>
      </w:r>
      <w:r w:rsidRPr="009A233D">
        <w:rPr>
          <w:b/>
          <w:i/>
        </w:rPr>
        <w:t>“</w:t>
      </w:r>
      <w:r>
        <w:t>. 11. ročník podujatia</w:t>
      </w:r>
      <w:r w:rsidR="00D00627">
        <w:t xml:space="preserve"> </w:t>
      </w:r>
      <w:r w:rsidR="00725F72">
        <w:t>v roku 2014</w:t>
      </w:r>
      <w:r w:rsidR="00D00627">
        <w:t xml:space="preserve"> zorganizovalo HMF</w:t>
      </w:r>
      <w:r w:rsidR="00725F72">
        <w:t xml:space="preserve"> na nádvorí Fiľakovského hradu v spolupráci s Novohradskm múzeom a galériou v Lučenci</w:t>
      </w:r>
      <w:r w:rsidR="00FF5868" w:rsidRPr="004E71D5">
        <w:t xml:space="preserve">. </w:t>
      </w:r>
      <w:r w:rsidR="00725F72">
        <w:t>Na podujatí prezentovalo s</w:t>
      </w:r>
      <w:r w:rsidR="00725F72" w:rsidRPr="000970E9">
        <w:t>voj</w:t>
      </w:r>
      <w:r w:rsidR="00725F72">
        <w:t>u činnosť,</w:t>
      </w:r>
      <w:r w:rsidR="00725F72" w:rsidRPr="000970E9">
        <w:t xml:space="preserve"> názory</w:t>
      </w:r>
      <w:r w:rsidR="00725F72">
        <w:t xml:space="preserve"> a</w:t>
      </w:r>
      <w:r w:rsidR="00725F72" w:rsidRPr="000970E9">
        <w:t xml:space="preserve"> problémy</w:t>
      </w:r>
      <w:r w:rsidR="00725F72">
        <w:t xml:space="preserve"> </w:t>
      </w:r>
      <w:r w:rsidR="00725F72" w:rsidRPr="000970E9">
        <w:t>tridsať</w:t>
      </w:r>
      <w:r w:rsidR="00725F72">
        <w:t>tri</w:t>
      </w:r>
      <w:r w:rsidR="00725F72" w:rsidRPr="000970E9">
        <w:t xml:space="preserve"> múzeí zo Slovenska a</w:t>
      </w:r>
      <w:r w:rsidR="00725F72">
        <w:t xml:space="preserve"> takmer 220 múzejníkov. </w:t>
      </w:r>
      <w:r w:rsidR="00725F72">
        <w:lastRenderedPageBreak/>
        <w:t xml:space="preserve">Zúčastnili sa aj </w:t>
      </w:r>
      <w:r w:rsidR="00725F72" w:rsidRPr="000970E9">
        <w:t>zá</w:t>
      </w:r>
      <w:r w:rsidR="00725F72">
        <w:t>stupcovia Ministerstva kultúry SR a</w:t>
      </w:r>
      <w:r w:rsidR="00725F72" w:rsidRPr="003C7CD5">
        <w:t> </w:t>
      </w:r>
      <w:r w:rsidR="00725F72" w:rsidRPr="000970E9">
        <w:t>host</w:t>
      </w:r>
      <w:r w:rsidR="00725F72">
        <w:t>ia</w:t>
      </w:r>
      <w:r w:rsidR="00725F72" w:rsidRPr="000970E9">
        <w:t xml:space="preserve"> z partnerských organizácií </w:t>
      </w:r>
      <w:r w:rsidR="00725F72">
        <w:t xml:space="preserve">zo zahraničia </w:t>
      </w:r>
      <w:r w:rsidR="00725F72" w:rsidRPr="000970E9">
        <w:t>– As</w:t>
      </w:r>
      <w:r w:rsidR="00725F72">
        <w:t>ociace muzeí a galerií ČR a</w:t>
      </w:r>
      <w:r w:rsidR="00725F72" w:rsidRPr="003C7CD5">
        <w:rPr>
          <w:i/>
        </w:rPr>
        <w:t> </w:t>
      </w:r>
      <w:r w:rsidR="00725F72">
        <w:t>Pul</w:t>
      </w:r>
      <w:r w:rsidR="00725F72" w:rsidRPr="000970E9">
        <w:t>s</w:t>
      </w:r>
      <w:r w:rsidR="00725F72">
        <w:t xml:space="preserve">zkého </w:t>
      </w:r>
      <w:r w:rsidR="00725F72" w:rsidRPr="003C7CD5">
        <w:t>spoločnos</w:t>
      </w:r>
      <w:r w:rsidR="00725F72">
        <w:t>ť z Maďarska</w:t>
      </w:r>
      <w:r w:rsidR="00D00627">
        <w:t xml:space="preserve">. </w:t>
      </w:r>
      <w:r w:rsidR="00FF5868" w:rsidRPr="004E71D5">
        <w:t>Múzeum poskytovalo odbornú pomoc študentom i odborníkom, priebežne prebiehali odborné kon</w:t>
      </w:r>
      <w:r w:rsidR="00725F72">
        <w:t>zultácie: k bakalárskym prácam, k diplomovým prácam a k individuálnym výskumom</w:t>
      </w:r>
      <w:r w:rsidR="00FF5868" w:rsidRPr="004E71D5">
        <w:t xml:space="preserve">. Odborní zamestnanci (Agócs, Tittonová) vypracovali spolu </w:t>
      </w:r>
      <w:r w:rsidR="00725F72">
        <w:t xml:space="preserve">1 monografiu, </w:t>
      </w:r>
      <w:r w:rsidR="00965DF0">
        <w:t>2 odborné štúdie a 1 článok</w:t>
      </w:r>
      <w:r w:rsidR="00FF5868" w:rsidRPr="004E71D5">
        <w:t xml:space="preserve"> </w:t>
      </w:r>
      <w:r w:rsidR="00965DF0">
        <w:t>v odbornej tlači</w:t>
      </w:r>
      <w:r w:rsidR="00FF5868" w:rsidRPr="004E71D5">
        <w:t>.</w:t>
      </w:r>
    </w:p>
    <w:p w:rsidR="00FF5868" w:rsidRPr="004E71D5" w:rsidRDefault="00FF5868" w:rsidP="00FF5868">
      <w:pPr>
        <w:spacing w:line="360" w:lineRule="auto"/>
        <w:jc w:val="both"/>
      </w:pPr>
    </w:p>
    <w:p w:rsidR="00FF5868" w:rsidRPr="004E71D5" w:rsidRDefault="007B4331" w:rsidP="00FF5868">
      <w:pPr>
        <w:spacing w:line="360" w:lineRule="auto"/>
        <w:jc w:val="both"/>
      </w:pPr>
      <w:r>
        <w:rPr>
          <w:b/>
          <w:i/>
          <w:highlight w:val="yellow"/>
        </w:rPr>
        <w:t>*</w:t>
      </w:r>
      <w:r w:rsidR="00FF5868" w:rsidRPr="009A233D">
        <w:rPr>
          <w:b/>
          <w:i/>
          <w:highlight w:val="yellow"/>
        </w:rPr>
        <w:t>Aktívna účasť na konferenciách a seminároch organizovaných inou inštitúciou</w:t>
      </w:r>
    </w:p>
    <w:p w:rsidR="00F75491" w:rsidRPr="004E71D5" w:rsidRDefault="00F75491" w:rsidP="00FF5868">
      <w:pPr>
        <w:pStyle w:val="VykazZakladny"/>
        <w:spacing w:line="360" w:lineRule="auto"/>
        <w:rPr>
          <w:rFonts w:ascii="Times New Roman" w:hAnsi="Times New Roman"/>
          <w:noProof/>
          <w:sz w:val="24"/>
          <w:szCs w:val="24"/>
        </w:rPr>
      </w:pPr>
    </w:p>
    <w:p w:rsidR="00FF5868" w:rsidRPr="004E71D5" w:rsidRDefault="00FF5868" w:rsidP="00FF5868">
      <w:pPr>
        <w:spacing w:line="360" w:lineRule="auto"/>
        <w:jc w:val="both"/>
        <w:rPr>
          <w:b/>
          <w:color w:val="000000"/>
        </w:rPr>
      </w:pPr>
      <w:r w:rsidRPr="004E71D5">
        <w:rPr>
          <w:b/>
          <w:color w:val="000000"/>
        </w:rPr>
        <w:t>V. Kultúrno-vzdelávacia a edičná činnosť, propagácia, spolupráca a styk s verejnosťou</w:t>
      </w:r>
    </w:p>
    <w:p w:rsidR="00FF5868" w:rsidRPr="004E71D5" w:rsidRDefault="00FF5868" w:rsidP="00FF5868">
      <w:pPr>
        <w:spacing w:line="360" w:lineRule="auto"/>
        <w:ind w:firstLine="708"/>
        <w:jc w:val="both"/>
        <w:rPr>
          <w:b/>
          <w:i/>
          <w:color w:val="000000"/>
        </w:rPr>
      </w:pPr>
      <w:r w:rsidRPr="004E71D5">
        <w:rPr>
          <w:b/>
          <w:i/>
          <w:color w:val="000000"/>
        </w:rPr>
        <w:t>a, Kultúrne podujatia organizované inštitúciou</w:t>
      </w:r>
    </w:p>
    <w:p w:rsidR="00FF5868" w:rsidRPr="004E71D5" w:rsidRDefault="00FF5868" w:rsidP="00FF5868">
      <w:pPr>
        <w:spacing w:line="360" w:lineRule="auto"/>
        <w:jc w:val="both"/>
        <w:rPr>
          <w:b/>
          <w:i/>
          <w:color w:val="000000"/>
        </w:rPr>
      </w:pPr>
      <w:r w:rsidRPr="004E71D5">
        <w:rPr>
          <w:color w:val="000000"/>
        </w:rPr>
        <w:t>1.</w:t>
      </w:r>
      <w:r w:rsidRPr="004E71D5">
        <w:rPr>
          <w:b/>
          <w:i/>
          <w:color w:val="000000"/>
        </w:rPr>
        <w:t xml:space="preserve"> </w:t>
      </w:r>
      <w:r w:rsidR="007B4331">
        <w:rPr>
          <w:color w:val="000000"/>
          <w:u w:val="single"/>
        </w:rPr>
        <w:t>Deviaty</w:t>
      </w:r>
      <w:r w:rsidRPr="004E71D5">
        <w:rPr>
          <w:color w:val="000000"/>
          <w:u w:val="single"/>
        </w:rPr>
        <w:t xml:space="preserve"> ročník podujatia „Palócka Veľká noc“</w:t>
      </w:r>
      <w:r w:rsidRPr="004E71D5">
        <w:rPr>
          <w:color w:val="000000"/>
        </w:rPr>
        <w:t xml:space="preserve"> bol usporiadaný v spolupráci s </w:t>
      </w:r>
      <w:r w:rsidRPr="004E71D5">
        <w:t xml:space="preserve">OZ Pro Gaudio a ďalšími </w:t>
      </w:r>
      <w:r w:rsidRPr="004E71D5">
        <w:rPr>
          <w:color w:val="000000"/>
        </w:rPr>
        <w:t>miestnymi OZ a</w:t>
      </w:r>
      <w:r w:rsidR="007B4331">
        <w:rPr>
          <w:color w:val="000000"/>
        </w:rPr>
        <w:t> </w:t>
      </w:r>
      <w:r w:rsidRPr="004E71D5">
        <w:rPr>
          <w:color w:val="000000"/>
        </w:rPr>
        <w:t>inštitúciami</w:t>
      </w:r>
      <w:r w:rsidR="007B4331">
        <w:rPr>
          <w:color w:val="000000"/>
        </w:rPr>
        <w:t xml:space="preserve">. Medzi vystupujúcimi bol </w:t>
      </w:r>
      <w:r w:rsidR="007B4331" w:rsidRPr="00BE6020">
        <w:t xml:space="preserve">Detský </w:t>
      </w:r>
      <w:r w:rsidR="007B4331" w:rsidRPr="00FC7C87">
        <w:t xml:space="preserve">folklórny </w:t>
      </w:r>
      <w:r w:rsidR="007B4331" w:rsidRPr="00BE6020">
        <w:t>súbor Malá Rakonca</w:t>
      </w:r>
      <w:r w:rsidR="007B4331">
        <w:t xml:space="preserve">, </w:t>
      </w:r>
      <w:r w:rsidR="007B4331" w:rsidRPr="00BE6020">
        <w:t>finalisti súťaže „</w:t>
      </w:r>
      <w:r w:rsidR="007B4331" w:rsidRPr="00FC7C87">
        <w:t>Fölszállott</w:t>
      </w:r>
      <w:r w:rsidR="007B4331" w:rsidRPr="00BE6020">
        <w:t xml:space="preserve"> a páva </w:t>
      </w:r>
      <w:r w:rsidR="007B4331" w:rsidRPr="00FC7C87">
        <w:t>2012</w:t>
      </w:r>
      <w:r w:rsidR="007B4331" w:rsidRPr="00BE6020">
        <w:t>“</w:t>
      </w:r>
      <w:r w:rsidR="007B4331">
        <w:t xml:space="preserve"> , </w:t>
      </w:r>
      <w:r w:rsidR="007B4331" w:rsidRPr="00BE6020">
        <w:t>členovia Folklórneho súboru Kincső</w:t>
      </w:r>
      <w:r w:rsidR="007B4331">
        <w:t xml:space="preserve">, </w:t>
      </w:r>
      <w:r w:rsidR="007B4331" w:rsidRPr="00BE6020">
        <w:t>skupina Gereben Zenekar</w:t>
      </w:r>
      <w:r w:rsidR="007B4331">
        <w:t xml:space="preserve">, </w:t>
      </w:r>
      <w:r w:rsidR="007B4331" w:rsidRPr="00BE6020">
        <w:t>Kerek Perec Egylet</w:t>
      </w:r>
      <w:r w:rsidR="007B4331">
        <w:t xml:space="preserve"> a hudobná skupina</w:t>
      </w:r>
      <w:r w:rsidR="007B4331" w:rsidRPr="00BE6020">
        <w:t xml:space="preserve"> </w:t>
      </w:r>
      <w:r w:rsidR="007B4331" w:rsidRPr="00BE6020">
        <w:rPr>
          <w:rStyle w:val="style1"/>
        </w:rPr>
        <w:t>Besh o</w:t>
      </w:r>
      <w:r w:rsidR="007B4331">
        <w:rPr>
          <w:rStyle w:val="style1"/>
        </w:rPr>
        <w:t> </w:t>
      </w:r>
      <w:r w:rsidR="007B4331" w:rsidRPr="00BE6020">
        <w:rPr>
          <w:rStyle w:val="style1"/>
        </w:rPr>
        <w:t>droM</w:t>
      </w:r>
      <w:r w:rsidR="007B4331">
        <w:rPr>
          <w:rStyle w:val="style1"/>
        </w:rPr>
        <w:t xml:space="preserve">. </w:t>
      </w:r>
      <w:r w:rsidR="00CC7E95">
        <w:rPr>
          <w:rStyle w:val="style1"/>
        </w:rPr>
        <w:t>Podujatia</w:t>
      </w:r>
      <w:r w:rsidR="007B4331">
        <w:rPr>
          <w:rStyle w:val="style1"/>
        </w:rPr>
        <w:t xml:space="preserve"> sa zúčastnilo 1200 návštevníkov.</w:t>
      </w:r>
    </w:p>
    <w:p w:rsidR="00FF5868" w:rsidRPr="004E71D5" w:rsidRDefault="00FF5868" w:rsidP="001075EC">
      <w:pPr>
        <w:spacing w:line="360" w:lineRule="auto"/>
        <w:contextualSpacing/>
        <w:jc w:val="both"/>
      </w:pPr>
      <w:r w:rsidRPr="004E71D5">
        <w:rPr>
          <w:color w:val="000000"/>
        </w:rPr>
        <w:t>2.</w:t>
      </w:r>
      <w:r w:rsidRPr="004E71D5">
        <w:rPr>
          <w:b/>
          <w:i/>
          <w:color w:val="000000"/>
        </w:rPr>
        <w:t xml:space="preserve"> </w:t>
      </w:r>
      <w:r w:rsidR="007B4331">
        <w:rPr>
          <w:u w:val="single"/>
        </w:rPr>
        <w:t>Siedm</w:t>
      </w:r>
      <w:r w:rsidRPr="004E71D5">
        <w:rPr>
          <w:u w:val="single"/>
        </w:rPr>
        <w:t>y ročník Noci múzeí na fiľakovskom hrade</w:t>
      </w:r>
      <w:r w:rsidRPr="004E71D5">
        <w:t xml:space="preserve"> – odštartoval otvorením troch aktuálnych výstav v Mestskom vlasti</w:t>
      </w:r>
      <w:r w:rsidR="00CC7E95">
        <w:t xml:space="preserve">vednom múzeu a v Bebekovej veži </w:t>
      </w:r>
      <w:r w:rsidR="00CC7E95" w:rsidRPr="00CC7E95">
        <w:t>(„Klasici novohradského výtvarného umenia v 20. storočí“, „Smaltovnícky a sklársky priemysel Novohradu“, „Krása kachlíc“)</w:t>
      </w:r>
      <w:r w:rsidR="00CC7E95">
        <w:t>.</w:t>
      </w:r>
      <w:r w:rsidRPr="00CC7E95">
        <w:t xml:space="preserve"> </w:t>
      </w:r>
      <w:r w:rsidRPr="004E71D5">
        <w:t>V rámci sprievodného programu sa uskutočnil</w:t>
      </w:r>
      <w:r w:rsidR="00CC7E95">
        <w:t xml:space="preserve">o </w:t>
      </w:r>
      <w:r w:rsidR="00CC7E95" w:rsidRPr="009F4668">
        <w:t>premietanie archívnych filmov niekdajšieho Filmového krúžku pri Závodnom klub</w:t>
      </w:r>
      <w:r w:rsidR="00CC7E95">
        <w:t xml:space="preserve">e vo Fiľakove z rokov 1967-1972 v MVM. V kazemate Fiľakovského hradu s konala </w:t>
      </w:r>
      <w:r w:rsidR="00CC7E95" w:rsidRPr="009F4668">
        <w:rPr>
          <w:lang w:val="hu-HU"/>
        </w:rPr>
        <w:t>Prednáška Jozefa Puntigána</w:t>
      </w:r>
      <w:r w:rsidR="00CC7E95">
        <w:rPr>
          <w:lang w:val="hu-HU"/>
        </w:rPr>
        <w:t>:</w:t>
      </w:r>
      <w:r w:rsidR="00CC7E95" w:rsidRPr="009F4668">
        <w:rPr>
          <w:lang w:val="hu-HU"/>
        </w:rPr>
        <w:t xml:space="preserve"> </w:t>
      </w:r>
      <w:r w:rsidR="00CC7E95" w:rsidRPr="009F4668">
        <w:t>„Csontváry a Novohrad“</w:t>
      </w:r>
      <w:r w:rsidR="00CC7E95">
        <w:t>, v areály vystúpila historická šermiarska skupina</w:t>
      </w:r>
      <w:r w:rsidR="00CC7E95" w:rsidRPr="009F4668">
        <w:t xml:space="preserve"> B</w:t>
      </w:r>
      <w:r w:rsidR="00CC7E95" w:rsidRPr="009F4668">
        <w:rPr>
          <w:lang w:val="hu-HU"/>
        </w:rPr>
        <w:t>örzsönyi Nehézgyalogosok z MR</w:t>
      </w:r>
      <w:r w:rsidR="00CC7E95">
        <w:rPr>
          <w:lang w:val="hu-HU"/>
        </w:rPr>
        <w:t xml:space="preserve"> a vokálna hudobná skupina</w:t>
      </w:r>
      <w:r w:rsidR="00CC7E95" w:rsidRPr="009F4668">
        <w:t xml:space="preserve"> For You Acapella</w:t>
      </w:r>
      <w:r w:rsidR="00CC7E95">
        <w:t xml:space="preserve">. Návštevníci mali možnosť si pozrieť aj </w:t>
      </w:r>
      <w:r w:rsidR="00CC7E95">
        <w:rPr>
          <w:lang w:val="hu-HU"/>
        </w:rPr>
        <w:t>p</w:t>
      </w:r>
      <w:r w:rsidR="00CC7E95" w:rsidRPr="009F4668">
        <w:rPr>
          <w:lang w:val="hu-HU"/>
        </w:rPr>
        <w:t>lenérové predstavenie Divadla Teatr Formy /Wroclaw, Poľsko/: Bitka pôstu s karnevalom</w:t>
      </w:r>
      <w:r w:rsidR="00CC7E95">
        <w:rPr>
          <w:lang w:val="hu-HU"/>
        </w:rPr>
        <w:t xml:space="preserve">, vyskúšať </w:t>
      </w:r>
      <w:r w:rsidR="00CC7E95">
        <w:t>gravírovanie skla, výrobu</w:t>
      </w:r>
      <w:r w:rsidR="00CC7E95" w:rsidRPr="009F4668">
        <w:t xml:space="preserve"> kachlíc a smaltovaných šperkov, </w:t>
      </w:r>
      <w:r w:rsidR="00CC7E95">
        <w:t>a zúčastniť sa animačného</w:t>
      </w:r>
      <w:r w:rsidR="00CC7E95" w:rsidRPr="009F4668">
        <w:t xml:space="preserve"> program</w:t>
      </w:r>
      <w:r w:rsidR="00CC7E95">
        <w:t>u</w:t>
      </w:r>
      <w:r w:rsidR="00CC7E95" w:rsidRPr="009F4668">
        <w:t xml:space="preserve"> Historickej skupiny Defensores z</w:t>
      </w:r>
      <w:r w:rsidR="00CC7E95">
        <w:t> </w:t>
      </w:r>
      <w:r w:rsidR="00CC7E95" w:rsidRPr="009F4668">
        <w:t>Fiľakova</w:t>
      </w:r>
      <w:r w:rsidR="00CC7E95">
        <w:rPr>
          <w:lang w:val="hu-HU"/>
        </w:rPr>
        <w:t>.</w:t>
      </w:r>
    </w:p>
    <w:p w:rsidR="00FF5868" w:rsidRPr="004E71D5" w:rsidRDefault="00FF5868" w:rsidP="001075EC">
      <w:pPr>
        <w:spacing w:line="360" w:lineRule="auto"/>
        <w:contextualSpacing/>
        <w:jc w:val="both"/>
        <w:rPr>
          <w:color w:val="000000"/>
        </w:rPr>
      </w:pPr>
      <w:r w:rsidRPr="004E71D5">
        <w:rPr>
          <w:color w:val="000000"/>
        </w:rPr>
        <w:t>Podujatia sa zúčast</w:t>
      </w:r>
      <w:r w:rsidR="00BE3672">
        <w:rPr>
          <w:color w:val="000000"/>
        </w:rPr>
        <w:t>nilo na dvoch miestach vyše 600</w:t>
      </w:r>
      <w:r w:rsidRPr="004E71D5">
        <w:rPr>
          <w:color w:val="000000"/>
        </w:rPr>
        <w:t xml:space="preserve">návštevníkov.  </w:t>
      </w:r>
    </w:p>
    <w:p w:rsidR="001075EC" w:rsidRDefault="00FF5868" w:rsidP="001075EC">
      <w:pPr>
        <w:spacing w:line="360" w:lineRule="auto"/>
        <w:jc w:val="both"/>
      </w:pPr>
      <w:r w:rsidRPr="004E71D5">
        <w:rPr>
          <w:color w:val="000000"/>
        </w:rPr>
        <w:t xml:space="preserve">3. </w:t>
      </w:r>
      <w:r w:rsidR="00556725" w:rsidRPr="00556725">
        <w:rPr>
          <w:u w:val="single"/>
        </w:rPr>
        <w:t xml:space="preserve">Deň detí na Fiľakovskom hrade </w:t>
      </w:r>
      <w:r w:rsidR="00556725">
        <w:t xml:space="preserve">– usporiadalo HMF v spolupráci s Centrom voľného času Iuvenes, </w:t>
      </w:r>
      <w:r w:rsidR="00556725" w:rsidRPr="0014600F">
        <w:t>47. Skautský</w:t>
      </w:r>
      <w:r w:rsidR="00556725">
        <w:t>m</w:t>
      </w:r>
      <w:r w:rsidR="00556725" w:rsidRPr="0014600F">
        <w:t xml:space="preserve"> zbor</w:t>
      </w:r>
      <w:r w:rsidR="00556725">
        <w:t>om</w:t>
      </w:r>
      <w:r w:rsidR="00556725" w:rsidRPr="0014600F">
        <w:t xml:space="preserve"> Štefana Koháryho </w:t>
      </w:r>
      <w:r w:rsidR="00556725">
        <w:t xml:space="preserve">a OZ Pro Gaudio. Okrem </w:t>
      </w:r>
      <w:r w:rsidR="00556725" w:rsidRPr="0014600F">
        <w:t>ukáž</w:t>
      </w:r>
      <w:r w:rsidR="00556725">
        <w:t>ok</w:t>
      </w:r>
      <w:r w:rsidR="00556725" w:rsidRPr="0014600F">
        <w:t xml:space="preserve"> Policajného zboru SR, Hasičského a záchranného zboru, Ozbrojených síl SR,</w:t>
      </w:r>
      <w:r w:rsidR="00556725">
        <w:t xml:space="preserve"> Vojenskej polície čakali na záujemcov maľovanie na tvár, hra na flašinet, tvorivé dielne, ukážky </w:t>
      </w:r>
      <w:r w:rsidR="00556725" w:rsidRPr="0014600F">
        <w:t>bojového umenia</w:t>
      </w:r>
      <w:r w:rsidR="00556725">
        <w:t xml:space="preserve">, historických zbraní a kynológie. </w:t>
      </w:r>
      <w:r w:rsidR="001075EC">
        <w:t>Vystúpilo</w:t>
      </w:r>
      <w:r w:rsidR="00556725">
        <w:t xml:space="preserve"> aj</w:t>
      </w:r>
      <w:r w:rsidR="001075EC">
        <w:t xml:space="preserve"> košické </w:t>
      </w:r>
      <w:r w:rsidR="001075EC" w:rsidRPr="0014600F">
        <w:t>bábkové</w:t>
      </w:r>
      <w:r w:rsidR="001075EC">
        <w:t xml:space="preserve"> </w:t>
      </w:r>
      <w:r w:rsidR="001075EC" w:rsidRPr="0014600F">
        <w:t>divadl</w:t>
      </w:r>
      <w:r w:rsidR="001075EC">
        <w:t>o Tomáša Plaszkyho,</w:t>
      </w:r>
      <w:r w:rsidR="00556725">
        <w:t xml:space="preserve"> </w:t>
      </w:r>
      <w:r w:rsidR="001075EC" w:rsidRPr="0014600F">
        <w:t xml:space="preserve">umelecké súbory </w:t>
      </w:r>
      <w:r w:rsidR="001075EC">
        <w:t xml:space="preserve">miestnych </w:t>
      </w:r>
      <w:r w:rsidR="001075EC" w:rsidRPr="0014600F">
        <w:t>škôl a</w:t>
      </w:r>
      <w:r w:rsidR="001075EC">
        <w:t> </w:t>
      </w:r>
      <w:r w:rsidR="001075EC" w:rsidRPr="0014600F">
        <w:t>združení</w:t>
      </w:r>
      <w:r w:rsidR="001075EC">
        <w:t xml:space="preserve">, detský folklórny súbor </w:t>
      </w:r>
      <w:r w:rsidR="001075EC" w:rsidRPr="0014600F">
        <w:lastRenderedPageBreak/>
        <w:t>Szederinke</w:t>
      </w:r>
      <w:r w:rsidR="001075EC">
        <w:t xml:space="preserve"> a Jánošík, </w:t>
      </w:r>
      <w:r w:rsidR="00556725">
        <w:t>historická skupina</w:t>
      </w:r>
      <w:r w:rsidR="00556725" w:rsidRPr="0014600F">
        <w:t xml:space="preserve"> Defensores</w:t>
      </w:r>
      <w:r w:rsidR="00556725">
        <w:t xml:space="preserve"> z Fiľakova a Ricasso zo Zvolena. Pre deti boli pripravené aj súťaže šikovnosti, prekážková</w:t>
      </w:r>
      <w:r w:rsidR="001075EC">
        <w:t xml:space="preserve"> dráha a </w:t>
      </w:r>
      <w:r w:rsidR="00556725">
        <w:t>lukostreľb</w:t>
      </w:r>
      <w:r w:rsidR="001075EC">
        <w:t xml:space="preserve">a. </w:t>
      </w:r>
    </w:p>
    <w:p w:rsidR="00556725" w:rsidRDefault="001075EC" w:rsidP="001075EC">
      <w:pPr>
        <w:spacing w:line="360" w:lineRule="auto"/>
        <w:jc w:val="both"/>
      </w:pPr>
      <w:r>
        <w:t>Hradný areál navštívilo 300 ľudí.</w:t>
      </w:r>
      <w:r w:rsidR="00556725" w:rsidRPr="0014600F">
        <w:t xml:space="preserve">  </w:t>
      </w:r>
    </w:p>
    <w:p w:rsidR="00FF5868" w:rsidRPr="001075EC" w:rsidRDefault="00FF5868" w:rsidP="001075EC">
      <w:pPr>
        <w:pStyle w:val="VykazZakladny"/>
        <w:spacing w:after="0" w:line="360" w:lineRule="auto"/>
        <w:rPr>
          <w:rFonts w:ascii="Times New Roman" w:hAnsi="Times New Roman"/>
          <w:b/>
          <w:i/>
          <w:noProof/>
          <w:sz w:val="24"/>
          <w:szCs w:val="24"/>
        </w:rPr>
      </w:pPr>
    </w:p>
    <w:p w:rsidR="005F510C" w:rsidRDefault="00556725" w:rsidP="001075EC">
      <w:pPr>
        <w:spacing w:line="360" w:lineRule="auto"/>
        <w:jc w:val="both"/>
      </w:pPr>
      <w:r w:rsidRPr="001075EC">
        <w:rPr>
          <w:b/>
          <w:i/>
        </w:rPr>
        <w:tab/>
        <w:t>b</w:t>
      </w:r>
      <w:r w:rsidR="00FF5868" w:rsidRPr="001075EC">
        <w:rPr>
          <w:b/>
          <w:i/>
        </w:rPr>
        <w:t>, Spoluorganizátorstvo a spolupráca na príprave podujatí externých organizátorov</w:t>
      </w:r>
      <w:r w:rsidR="00FF5868" w:rsidRPr="001075EC">
        <w:rPr>
          <w:b/>
          <w:i/>
        </w:rPr>
        <w:tab/>
      </w:r>
      <w:r w:rsidR="00FF5868" w:rsidRPr="001075EC">
        <w:t xml:space="preserve">HMF bolo aktívnym spoluorganizátorom viacerých podujatí konajúcich sa na hrade a v podhradí: Tábor Geoparku Novohrad-Nógrád, Historické hradné hry, Palócke dni, </w:t>
      </w:r>
      <w:r w:rsidR="005F510C">
        <w:t>Tábor skrášľovania hradu</w:t>
      </w:r>
      <w:r w:rsidR="00FF5868" w:rsidRPr="001075EC">
        <w:t>.</w:t>
      </w:r>
    </w:p>
    <w:p w:rsidR="00FF5868" w:rsidRPr="005F510C" w:rsidRDefault="001075EC" w:rsidP="005F510C">
      <w:pPr>
        <w:spacing w:line="360" w:lineRule="auto"/>
        <w:jc w:val="both"/>
      </w:pPr>
      <w:r w:rsidRPr="005F510C">
        <w:rPr>
          <w:u w:val="single"/>
        </w:rPr>
        <w:t>Divadelno-tanečný workshop</w:t>
      </w:r>
      <w:r w:rsidRPr="005F510C">
        <w:rPr>
          <w:rStyle w:val="Zvraznenie"/>
          <w:u w:val="single"/>
        </w:rPr>
        <w:t xml:space="preserve"> </w:t>
      </w:r>
      <w:r w:rsidRPr="005F510C">
        <w:rPr>
          <w:rStyle w:val="Zvraznenie"/>
          <w:i w:val="0"/>
          <w:u w:val="single"/>
        </w:rPr>
        <w:t>Vyšehrad bez bariér</w:t>
      </w:r>
      <w:r w:rsidRPr="001075EC">
        <w:rPr>
          <w:rStyle w:val="Zvraznenie"/>
        </w:rPr>
        <w:t xml:space="preserve"> </w:t>
      </w:r>
      <w:r w:rsidRPr="001075EC">
        <w:rPr>
          <w:rStyle w:val="Zvraznenie"/>
          <w:b/>
        </w:rPr>
        <w:t xml:space="preserve">– </w:t>
      </w:r>
      <w:r w:rsidRPr="001075EC">
        <w:rPr>
          <w:rStyle w:val="Zvraznenie"/>
          <w:i w:val="0"/>
        </w:rPr>
        <w:t xml:space="preserve">sa na Fiľakovskom hrade zorganizoval v roku 2014 prvý krát. </w:t>
      </w:r>
      <w:r w:rsidRPr="005F510C">
        <w:t>Na</w:t>
      </w:r>
      <w:r w:rsidRPr="001075EC">
        <w:rPr>
          <w:b/>
        </w:rPr>
        <w:t xml:space="preserve"> </w:t>
      </w:r>
      <w:r w:rsidRPr="001075EC">
        <w:t xml:space="preserve">dvojtýždňovom workshope divadla, tanca a spevu sa zúčastnili mladí záujemcovia zo štátov Vyšehradskej štvorky. Hlavnými organizátormi workshopu boli </w:t>
      </w:r>
      <w:hyperlink r:id="rId10" w:tgtFrame="_blank" w:history="1">
        <w:r w:rsidRPr="001075EC">
          <w:rPr>
            <w:rStyle w:val="Hypertextovprepojenie"/>
            <w:color w:val="auto"/>
            <w:u w:val="none"/>
          </w:rPr>
          <w:t>Artové sdružení Cylindr</w:t>
        </w:r>
      </w:hyperlink>
      <w:r w:rsidRPr="001075EC">
        <w:t xml:space="preserve"> z Ostravy (ČR), </w:t>
      </w:r>
      <w:hyperlink r:id="rId11" w:tgtFrame="_blank" w:history="1">
        <w:r w:rsidRPr="001075EC">
          <w:rPr>
            <w:rStyle w:val="Hypertextovprepojenie"/>
            <w:color w:val="auto"/>
            <w:u w:val="none"/>
          </w:rPr>
          <w:t>Stowarzyszenie Teatr Formy</w:t>
        </w:r>
      </w:hyperlink>
      <w:r w:rsidRPr="001075EC">
        <w:t xml:space="preserve"> z Wroclavu (PL), </w:t>
      </w:r>
      <w:hyperlink r:id="rId12" w:tgtFrame="_blank" w:history="1">
        <w:r w:rsidRPr="001075EC">
          <w:rPr>
            <w:rStyle w:val="Hypertextovprepojenie"/>
            <w:color w:val="auto"/>
            <w:u w:val="none"/>
          </w:rPr>
          <w:t>Lélekpendítők Társasága</w:t>
        </w:r>
      </w:hyperlink>
      <w:r w:rsidRPr="001075EC">
        <w:t xml:space="preserve"> zo Salgótarjánu (HU) a </w:t>
      </w:r>
      <w:hyperlink r:id="rId13" w:tgtFrame="_blank" w:history="1">
        <w:r w:rsidRPr="001075EC">
          <w:rPr>
            <w:rStyle w:val="Hypertextovprepojenie"/>
            <w:color w:val="auto"/>
            <w:u w:val="none"/>
          </w:rPr>
          <w:t>Základná umelecká škola</w:t>
        </w:r>
      </w:hyperlink>
      <w:r w:rsidRPr="001075EC">
        <w:t xml:space="preserve"> z Rimavskej Soboty. Miestnymi partnermi boli Hradné múzeum vo Fiľakove, Mesto Fiľakovo, Miestna organizácia Csemadoku a Dom Matice slovenskej vo Fiľakove. Výstupom workshopu bolo verejné predstavenie diela „Zahynul kôň pod kalinou“, na motívy rovnomennej balady A. S. Puškina.</w:t>
      </w:r>
    </w:p>
    <w:p w:rsidR="00FF5868" w:rsidRPr="001075EC" w:rsidRDefault="00FF5868" w:rsidP="001075EC">
      <w:pPr>
        <w:spacing w:line="360" w:lineRule="auto"/>
        <w:ind w:firstLine="708"/>
        <w:jc w:val="both"/>
      </w:pPr>
      <w:r w:rsidRPr="001075EC">
        <w:t>V hradnom areáli sa formou prenájmu zrealizovalo v r</w:t>
      </w:r>
      <w:r w:rsidR="00556725" w:rsidRPr="001075EC">
        <w:t>. 2014</w:t>
      </w:r>
      <w:r w:rsidRPr="001075EC">
        <w:t xml:space="preserve"> jedno podujatie  (Fiľakovské historické hradné hry – OZ Koháry). Externým organizátorom ďalších podujatí bol poskytnutý hradný areál bezplatne (Guľášový festival – Strana maďarskej koalície, Deň geoparku</w:t>
      </w:r>
      <w:r w:rsidR="00556725" w:rsidRPr="001075EC">
        <w:t xml:space="preserve"> - ZPO Geopark Novohrad-Nógrád</w:t>
      </w:r>
      <w:r w:rsidRPr="001075EC">
        <w:t>, Palócke dni – MsKS Fiľakovo, Stretnutie hudobníkov – Július Kalcso).</w:t>
      </w:r>
    </w:p>
    <w:p w:rsidR="00FF5868" w:rsidRPr="001075EC" w:rsidRDefault="00FF5868" w:rsidP="001075EC">
      <w:pPr>
        <w:spacing w:line="360" w:lineRule="auto"/>
        <w:ind w:firstLine="708"/>
        <w:jc w:val="both"/>
      </w:pPr>
    </w:p>
    <w:p w:rsidR="00FF5868" w:rsidRPr="004E71D5" w:rsidRDefault="00FF5868" w:rsidP="001075EC">
      <w:pPr>
        <w:pStyle w:val="VykazZakladny"/>
        <w:spacing w:after="0" w:line="360" w:lineRule="auto"/>
        <w:rPr>
          <w:rFonts w:ascii="Times New Roman" w:hAnsi="Times New Roman"/>
          <w:b/>
          <w:i/>
          <w:noProof/>
          <w:sz w:val="24"/>
          <w:szCs w:val="24"/>
        </w:rPr>
      </w:pPr>
      <w:r w:rsidRPr="004E71D5">
        <w:rPr>
          <w:rFonts w:ascii="Times New Roman" w:hAnsi="Times New Roman"/>
          <w:noProof/>
          <w:sz w:val="24"/>
          <w:szCs w:val="24"/>
        </w:rPr>
        <w:tab/>
      </w:r>
      <w:r w:rsidR="005F510C">
        <w:rPr>
          <w:rFonts w:ascii="Times New Roman" w:hAnsi="Times New Roman"/>
          <w:b/>
          <w:i/>
          <w:noProof/>
          <w:sz w:val="24"/>
          <w:szCs w:val="24"/>
        </w:rPr>
        <w:t>c</w:t>
      </w:r>
      <w:r w:rsidRPr="004E71D5">
        <w:rPr>
          <w:rFonts w:ascii="Times New Roman" w:hAnsi="Times New Roman"/>
          <w:b/>
          <w:i/>
          <w:noProof/>
          <w:sz w:val="24"/>
          <w:szCs w:val="24"/>
        </w:rPr>
        <w:t>, Propagácia</w:t>
      </w:r>
    </w:p>
    <w:p w:rsidR="00FF5868" w:rsidRPr="004E71D5" w:rsidRDefault="005F510C" w:rsidP="00FF5868">
      <w:pPr>
        <w:pStyle w:val="StylNormalFlow"/>
        <w:spacing w:after="0" w:line="360" w:lineRule="auto"/>
        <w:ind w:firstLine="708"/>
        <w:rPr>
          <w:rFonts w:ascii="Times New Roman" w:hAnsi="Times New Roman"/>
          <w:sz w:val="24"/>
          <w:szCs w:val="24"/>
          <w:lang w:val="sk-SK"/>
        </w:rPr>
      </w:pPr>
      <w:r>
        <w:rPr>
          <w:rFonts w:ascii="Times New Roman" w:hAnsi="Times New Roman"/>
          <w:sz w:val="24"/>
          <w:szCs w:val="24"/>
          <w:lang w:val="sk-SK"/>
        </w:rPr>
        <w:t>V r. 2014</w:t>
      </w:r>
      <w:r w:rsidR="00FF5868" w:rsidRPr="004E71D5">
        <w:rPr>
          <w:rFonts w:ascii="Times New Roman" w:hAnsi="Times New Roman"/>
          <w:sz w:val="24"/>
          <w:szCs w:val="24"/>
          <w:lang w:val="sk-SK"/>
        </w:rPr>
        <w:t xml:space="preserve"> pokračovalo HMF vo zvyšovaní propagačných aktivít týkajúcich sa hradu a podujatí v hradnom areáli. E-mailom sa rozosielali pozvánky širokému okruhu záujemcov. Komunikácia s médiami prebiehala osobne i formou tlačových správ pripravovaných riaditeľom HMF a referentkou NTIC a rozosielaných širokému okruhu predstaviteľov printových a elektronických médií, i informačných portálov. HMF pravidelne spolupracovalo  s tlačovými agentúrami a médiami: Kam do mesta, Új Szó, Rekus, Szabad Újság, Fiľakovské zvesti – Füleki Hírlap, Pátria Rádió, Rádio Regina BB, TV LocAll, Duna TV, STV2 - vysielanie v maďarskej reči a www.hirek.sk. Informácie o aktivitách HMF sa objavili aj v médiách: Pravda, Nový Čas, Novohradské noviny, N</w:t>
      </w:r>
      <w:r>
        <w:rPr>
          <w:rFonts w:ascii="Times New Roman" w:hAnsi="Times New Roman"/>
          <w:sz w:val="24"/>
          <w:szCs w:val="24"/>
          <w:lang w:val="sk-SK"/>
        </w:rPr>
        <w:t>ovinky Lučenec, Túrabakancs 2014</w:t>
      </w:r>
      <w:r w:rsidR="00FF5868" w:rsidRPr="004E71D5">
        <w:rPr>
          <w:rFonts w:ascii="Times New Roman" w:hAnsi="Times New Roman"/>
          <w:sz w:val="24"/>
          <w:szCs w:val="24"/>
          <w:lang w:val="sk-SK"/>
        </w:rPr>
        <w:t xml:space="preserve"> </w:t>
      </w:r>
      <w:r w:rsidR="00FF5868" w:rsidRPr="004E71D5">
        <w:rPr>
          <w:rFonts w:ascii="Times New Roman" w:hAnsi="Times New Roman"/>
          <w:sz w:val="24"/>
          <w:szCs w:val="24"/>
          <w:lang w:val="sk-SK"/>
        </w:rPr>
        <w:lastRenderedPageBreak/>
        <w:t xml:space="preserve">(HU), Nógrád Megyei Hírlap (HU), Kossuth Rádió (HU), Gazdasági Rádió (HU), Szent István Rádió – Eger (HU), Európa Rádió (HU), TV Markíza, TV JOJ, MTV 1 (HU). HMF má platenú podstránku na portáli www.muzeum.sk, je webmastrom spoločnej dvojjazyčnej stránky novohradských hradov: www.neograd.eu. Vlastná internetová stránka HMF fungujúca v dvoch jazykových mutáciách (www.hradfilakovo.sk a </w:t>
      </w:r>
      <w:hyperlink r:id="rId14" w:history="1">
        <w:r w:rsidR="00FF5868" w:rsidRPr="004E71D5">
          <w:rPr>
            <w:rStyle w:val="Hypertextovprepojenie"/>
            <w:rFonts w:ascii="Times New Roman" w:hAnsi="Times New Roman"/>
            <w:color w:val="auto"/>
            <w:sz w:val="24"/>
            <w:szCs w:val="24"/>
            <w:u w:val="none"/>
            <w:lang w:val="sk-SK"/>
          </w:rPr>
          <w:t>www.fulekivar.sk</w:t>
        </w:r>
      </w:hyperlink>
      <w:r w:rsidR="00FF5868" w:rsidRPr="004E71D5">
        <w:rPr>
          <w:rFonts w:ascii="Times New Roman" w:hAnsi="Times New Roman"/>
          <w:sz w:val="24"/>
          <w:szCs w:val="24"/>
          <w:lang w:val="sk-SK"/>
        </w:rPr>
        <w:t>) vytvára priestor pre všetky štyri organizačné zložky inštitúcie (hrad, mestské múzeum, mestská knižnica, NTIC) a sprístupňuje aj on-line katalóg knižnice. HMF pokračovalo aj v aktivitách na poli „web2 marketingu“ - okruh virtuálnych "priateľov" inštitúcie na Fac</w:t>
      </w:r>
      <w:r>
        <w:rPr>
          <w:rFonts w:ascii="Times New Roman" w:hAnsi="Times New Roman"/>
          <w:sz w:val="24"/>
          <w:szCs w:val="24"/>
          <w:lang w:val="sk-SK"/>
        </w:rPr>
        <w:t>ebooku dosiahol koncom roka 2014 približne 3000</w:t>
      </w:r>
      <w:r w:rsidR="00FF5868" w:rsidRPr="004E71D5">
        <w:rPr>
          <w:rFonts w:ascii="Times New Roman" w:hAnsi="Times New Roman"/>
          <w:sz w:val="24"/>
          <w:szCs w:val="24"/>
          <w:lang w:val="sk-SK"/>
        </w:rPr>
        <w:t xml:space="preserve"> osôb. Inštitúcia spolupracovala s OZ Koháry pri zabezpečovaní propagácie Fiľakovských historických hradných hier. Počet pozvánok rozoslaných e-mailom (direct mailing) za rok: </w:t>
      </w:r>
      <w:r>
        <w:rPr>
          <w:rFonts w:ascii="Times New Roman" w:hAnsi="Times New Roman"/>
          <w:sz w:val="24"/>
          <w:szCs w:val="24"/>
          <w:lang w:val="sk-SK"/>
        </w:rPr>
        <w:t>2.985</w:t>
      </w:r>
      <w:r w:rsidR="00FF5868" w:rsidRPr="004E71D5">
        <w:rPr>
          <w:rFonts w:ascii="Times New Roman" w:hAnsi="Times New Roman"/>
          <w:sz w:val="24"/>
          <w:szCs w:val="24"/>
          <w:lang w:val="sk-SK"/>
        </w:rPr>
        <w:t xml:space="preserve">, počet článkov </w:t>
      </w:r>
      <w:r>
        <w:rPr>
          <w:rFonts w:ascii="Times New Roman" w:hAnsi="Times New Roman"/>
          <w:sz w:val="24"/>
          <w:szCs w:val="24"/>
          <w:lang w:val="sk-SK"/>
        </w:rPr>
        <w:t>publikovaných v tlači za rok: 35</w:t>
      </w:r>
      <w:r w:rsidR="00FF5868" w:rsidRPr="004E71D5">
        <w:rPr>
          <w:rFonts w:ascii="Times New Roman" w:hAnsi="Times New Roman"/>
          <w:sz w:val="24"/>
          <w:szCs w:val="24"/>
          <w:lang w:val="sk-SK"/>
        </w:rPr>
        <w:t>, príspevky v elektroni</w:t>
      </w:r>
      <w:r>
        <w:rPr>
          <w:rFonts w:ascii="Times New Roman" w:hAnsi="Times New Roman"/>
          <w:sz w:val="24"/>
          <w:szCs w:val="24"/>
          <w:lang w:val="sk-SK"/>
        </w:rPr>
        <w:t>ckých médiách (TV a rozhlas): 36</w:t>
      </w:r>
      <w:r w:rsidR="00FF5868" w:rsidRPr="004E71D5">
        <w:rPr>
          <w:rFonts w:ascii="Times New Roman" w:hAnsi="Times New Roman"/>
          <w:sz w:val="24"/>
          <w:szCs w:val="24"/>
          <w:lang w:val="sk-SK"/>
        </w:rPr>
        <w:t xml:space="preserve">, </w:t>
      </w:r>
      <w:r>
        <w:rPr>
          <w:rFonts w:ascii="Times New Roman" w:hAnsi="Times New Roman"/>
          <w:sz w:val="24"/>
          <w:szCs w:val="24"/>
          <w:lang w:val="sk-SK"/>
        </w:rPr>
        <w:t>propagácia na internete: 185</w:t>
      </w:r>
      <w:r w:rsidR="00FF5868" w:rsidRPr="004E71D5">
        <w:rPr>
          <w:rFonts w:ascii="Times New Roman" w:hAnsi="Times New Roman"/>
          <w:sz w:val="24"/>
          <w:szCs w:val="24"/>
          <w:lang w:val="sk-SK"/>
        </w:rPr>
        <w:t xml:space="preserve"> príspevkov. </w:t>
      </w:r>
    </w:p>
    <w:p w:rsidR="00FF5868" w:rsidRPr="004E71D5" w:rsidRDefault="00FF5868" w:rsidP="00FF5868">
      <w:pPr>
        <w:spacing w:line="360" w:lineRule="auto"/>
        <w:jc w:val="both"/>
        <w:rPr>
          <w:color w:val="FF0000"/>
        </w:rPr>
      </w:pPr>
      <w:r w:rsidRPr="004E71D5">
        <w:rPr>
          <w:color w:val="FF0000"/>
        </w:rPr>
        <w:tab/>
      </w:r>
    </w:p>
    <w:p w:rsidR="00FF5868" w:rsidRPr="004E71D5" w:rsidRDefault="00FF5868" w:rsidP="00FF5868">
      <w:pPr>
        <w:spacing w:line="360" w:lineRule="auto"/>
        <w:jc w:val="both"/>
        <w:rPr>
          <w:b/>
        </w:rPr>
      </w:pPr>
      <w:r w:rsidRPr="004E71D5">
        <w:rPr>
          <w:b/>
        </w:rPr>
        <w:t>VI. Granty a dotácie</w:t>
      </w:r>
    </w:p>
    <w:p w:rsidR="00FF5868" w:rsidRDefault="005F510C" w:rsidP="007F0B08">
      <w:pPr>
        <w:spacing w:line="360" w:lineRule="auto"/>
        <w:ind w:firstLine="708"/>
        <w:jc w:val="both"/>
      </w:pPr>
      <w:r w:rsidRPr="007F0B08">
        <w:t xml:space="preserve">Na rok 2014 bolo vypracovaných celkom </w:t>
      </w:r>
      <w:r w:rsidR="0010789A">
        <w:t>5</w:t>
      </w:r>
      <w:r w:rsidR="00FF5868" w:rsidRPr="007F0B08">
        <w:t xml:space="preserve"> </w:t>
      </w:r>
      <w:r w:rsidR="00E226C4" w:rsidRPr="007F0B08">
        <w:t xml:space="preserve">múzejných projektov, z toho boli </w:t>
      </w:r>
      <w:r w:rsidR="007F0B08" w:rsidRPr="007F0B08">
        <w:t>3</w:t>
      </w:r>
      <w:r w:rsidR="00E226C4" w:rsidRPr="007F0B08">
        <w:t xml:space="preserve"> úspešné</w:t>
      </w:r>
      <w:r w:rsidR="00FF5868" w:rsidRPr="007F0B08">
        <w:t>. Celková suma získanej dotácie na podporu múzejnej činnosti za rok: 20.196,- €:</w:t>
      </w:r>
    </w:p>
    <w:p w:rsidR="007F0B08" w:rsidRPr="007F0B08" w:rsidRDefault="007F0B08" w:rsidP="007F0B08">
      <w:pPr>
        <w:spacing w:line="360" w:lineRule="auto"/>
        <w:ind w:firstLine="708"/>
        <w:jc w:val="both"/>
        <w:rPr>
          <w:noProof w:val="0"/>
        </w:rPr>
      </w:pPr>
    </w:p>
    <w:p w:rsidR="00FF5868" w:rsidRPr="007F0B08" w:rsidRDefault="007F0B08" w:rsidP="007F0B08">
      <w:pPr>
        <w:spacing w:line="360" w:lineRule="auto"/>
        <w:jc w:val="both"/>
        <w:rPr>
          <w:noProof w:val="0"/>
        </w:rPr>
      </w:pPr>
      <w:r>
        <w:rPr>
          <w:noProof w:val="0"/>
        </w:rPr>
        <w:t xml:space="preserve">1. </w:t>
      </w:r>
      <w:r w:rsidRPr="007F0B08">
        <w:rPr>
          <w:noProof w:val="0"/>
        </w:rPr>
        <w:t xml:space="preserve">"Zabezpečenie klimatických podmienok v expozičných priestoroch Mestského vlastivedného múzea vo Fiľakove" - grantový systém MK SR – schválená dotácia: </w:t>
      </w:r>
      <w:r>
        <w:rPr>
          <w:noProof w:val="0"/>
        </w:rPr>
        <w:t>25.014</w:t>
      </w:r>
      <w:r w:rsidRPr="007F0B08">
        <w:rPr>
          <w:noProof w:val="0"/>
        </w:rPr>
        <w:t>,- €</w:t>
      </w:r>
    </w:p>
    <w:p w:rsidR="00FF5868" w:rsidRPr="007F0B08" w:rsidRDefault="00FF5868" w:rsidP="007F0B08">
      <w:pPr>
        <w:spacing w:line="360" w:lineRule="auto"/>
        <w:jc w:val="both"/>
        <w:rPr>
          <w:noProof w:val="0"/>
        </w:rPr>
      </w:pPr>
      <w:r w:rsidRPr="007F0B08">
        <w:rPr>
          <w:noProof w:val="0"/>
        </w:rPr>
        <w:t xml:space="preserve">2. </w:t>
      </w:r>
      <w:r w:rsidR="007F0B08" w:rsidRPr="007F0B08">
        <w:rPr>
          <w:noProof w:val="0"/>
        </w:rPr>
        <w:t xml:space="preserve"> "Vybavenie archeologického pracoviska HMF základnou technickou výbavou do terénu" - grantový systém MK SR – schválená dotácia: 800,- €</w:t>
      </w:r>
    </w:p>
    <w:p w:rsidR="007F0B08" w:rsidRPr="007F0B08" w:rsidRDefault="00FF5868" w:rsidP="007F0B08">
      <w:pPr>
        <w:spacing w:line="360" w:lineRule="auto"/>
        <w:jc w:val="both"/>
        <w:rPr>
          <w:noProof w:val="0"/>
        </w:rPr>
      </w:pPr>
      <w:r w:rsidRPr="007F0B08">
        <w:rPr>
          <w:noProof w:val="0"/>
        </w:rPr>
        <w:t xml:space="preserve">3. </w:t>
      </w:r>
      <w:r w:rsidR="007F0B08" w:rsidRPr="007F0B08">
        <w:rPr>
          <w:noProof w:val="0"/>
        </w:rPr>
        <w:t>HMF sa zapojilo do grantového systému MK SR ako prijímateľ kultúrnych poukazov (dotácia príde formou preplatenia prijatých poukazov) - predpokladaná dotácia: min. 3.214,-  €</w:t>
      </w:r>
    </w:p>
    <w:p w:rsidR="00FF5868" w:rsidRPr="004E71D5" w:rsidRDefault="00FF5868" w:rsidP="00FF5868">
      <w:pPr>
        <w:spacing w:line="360" w:lineRule="auto"/>
        <w:jc w:val="both"/>
        <w:rPr>
          <w:b/>
        </w:rPr>
      </w:pPr>
    </w:p>
    <w:p w:rsidR="00FF5868" w:rsidRPr="004E71D5" w:rsidRDefault="00FF5868" w:rsidP="00FF5868">
      <w:pPr>
        <w:spacing w:line="360" w:lineRule="auto"/>
        <w:jc w:val="both"/>
        <w:rPr>
          <w:b/>
        </w:rPr>
      </w:pPr>
      <w:r w:rsidRPr="004E71D5">
        <w:rPr>
          <w:b/>
        </w:rPr>
        <w:t>C, Knižničná činnosť – Mestská knižnica</w:t>
      </w:r>
    </w:p>
    <w:p w:rsidR="00FF5868" w:rsidRPr="004E71D5" w:rsidRDefault="00FF5868" w:rsidP="00FF5868">
      <w:pPr>
        <w:spacing w:line="360" w:lineRule="auto"/>
        <w:jc w:val="both"/>
      </w:pPr>
    </w:p>
    <w:p w:rsidR="00FF5868" w:rsidRPr="004E71D5" w:rsidRDefault="00FF5868" w:rsidP="00FF5868">
      <w:pPr>
        <w:spacing w:line="360" w:lineRule="auto"/>
        <w:jc w:val="both"/>
        <w:outlineLvl w:val="0"/>
        <w:rPr>
          <w:b/>
          <w:i/>
        </w:rPr>
      </w:pPr>
      <w:r w:rsidRPr="004E71D5">
        <w:rPr>
          <w:b/>
          <w:i/>
        </w:rPr>
        <w:t>I. Organizačné, personálne a technické zabezpečenie knižnice</w:t>
      </w:r>
    </w:p>
    <w:p w:rsidR="00FF5868" w:rsidRPr="004E71D5" w:rsidRDefault="00FF5868" w:rsidP="00FF5868">
      <w:pPr>
        <w:spacing w:line="360" w:lineRule="auto"/>
        <w:jc w:val="both"/>
      </w:pPr>
      <w:r w:rsidRPr="004E71D5">
        <w:tab/>
        <w:t xml:space="preserve">Mestská knižnica vo Fiľakove je organizačnou súčasťou Hradného múzea vo Fiľakove </w:t>
      </w:r>
    </w:p>
    <w:p w:rsidR="00FF5868" w:rsidRPr="004E71D5" w:rsidRDefault="00FF5868" w:rsidP="00FF5868">
      <w:pPr>
        <w:spacing w:line="360" w:lineRule="auto"/>
        <w:jc w:val="both"/>
      </w:pPr>
      <w:r w:rsidRPr="004E71D5">
        <w:t>od 15.12.2011. Personálne zabezpečenie oddelenia: priemerný evidenčný po</w:t>
      </w:r>
      <w:r w:rsidR="0010789A">
        <w:t>čet zamestnancov bol v roku 2014 3 – v knižnici pracovali</w:t>
      </w:r>
      <w:r w:rsidRPr="004E71D5">
        <w:t xml:space="preserve"> 2 pracovníčky so stredoškolským knižničným vzdelaním a 1 s vysokoškolským vzdelaním zamestnávaná v rámci projektu ÚPSVaR „Podpora zamestnávania nezamestnaných v samospráve“. Všetky priestory knižnice sú mimo pracovného času zamestnancov chránené elektronickým zabezpečovacím systémom. </w:t>
      </w:r>
    </w:p>
    <w:p w:rsidR="00FF5868" w:rsidRPr="004E71D5" w:rsidRDefault="00FF5868" w:rsidP="00FF5868">
      <w:pPr>
        <w:spacing w:line="360" w:lineRule="auto"/>
        <w:jc w:val="both"/>
      </w:pPr>
    </w:p>
    <w:p w:rsidR="00FF5868" w:rsidRPr="004E71D5" w:rsidRDefault="00FF5868" w:rsidP="00FF5868">
      <w:pPr>
        <w:spacing w:line="360" w:lineRule="auto"/>
        <w:jc w:val="both"/>
        <w:outlineLvl w:val="0"/>
        <w:rPr>
          <w:b/>
          <w:i/>
        </w:rPr>
      </w:pPr>
      <w:r w:rsidRPr="004E71D5">
        <w:rPr>
          <w:b/>
          <w:i/>
        </w:rPr>
        <w:t xml:space="preserve">II. Akvizície a stav knižného fondu  </w:t>
      </w:r>
    </w:p>
    <w:p w:rsidR="00FF5868" w:rsidRPr="004E71D5" w:rsidRDefault="0010789A" w:rsidP="00FF5868">
      <w:pPr>
        <w:spacing w:line="360" w:lineRule="auto"/>
        <w:jc w:val="both"/>
        <w:rPr>
          <w:color w:val="FF0000"/>
        </w:rPr>
      </w:pPr>
      <w:r>
        <w:tab/>
        <w:t>Knižnica získala v roku 2014</w:t>
      </w:r>
      <w:r w:rsidR="00BC4F23">
        <w:t xml:space="preserve"> spolu 2243 zväzkov</w:t>
      </w:r>
      <w:r w:rsidR="00BC4F23" w:rsidRPr="00FD7BC7">
        <w:t xml:space="preserve"> kníh</w:t>
      </w:r>
      <w:r w:rsidR="00BC4F23">
        <w:t xml:space="preserve"> kúpou aj darom</w:t>
      </w:r>
      <w:r w:rsidR="00BC4F23" w:rsidRPr="00FD7BC7">
        <w:t>, finančné prostriedk</w:t>
      </w:r>
      <w:r w:rsidR="00BC4F23">
        <w:t>y</w:t>
      </w:r>
      <w:r w:rsidR="00BC4F23" w:rsidRPr="0012168B">
        <w:t xml:space="preserve"> </w:t>
      </w:r>
      <w:r w:rsidR="00BC4F23" w:rsidRPr="00FD7BC7">
        <w:t>vynaložené</w:t>
      </w:r>
      <w:r w:rsidR="00BC4F23">
        <w:t xml:space="preserve"> na nákup  </w:t>
      </w:r>
      <w:r w:rsidR="00FF5868" w:rsidRPr="004E71D5">
        <w:t xml:space="preserve">knižného fondu z rozpočtu HMF: </w:t>
      </w:r>
      <w:r w:rsidR="00BC4F23">
        <w:t>4.864</w:t>
      </w:r>
      <w:r w:rsidR="00FF5868" w:rsidRPr="004E71D5">
        <w:t xml:space="preserve"> €. Ďalšie akvizície prebehli pomocou </w:t>
      </w:r>
      <w:r w:rsidR="00BC4F23">
        <w:t>5</w:t>
      </w:r>
      <w:r w:rsidR="00FF5868" w:rsidRPr="004E71D5">
        <w:t xml:space="preserve"> úspešných projektov, z ktorých </w:t>
      </w:r>
      <w:r w:rsidR="00BC4F23">
        <w:t>dva boli realizované</w:t>
      </w:r>
      <w:r w:rsidR="00FF5868" w:rsidRPr="004E71D5">
        <w:t xml:space="preserve"> v rámci cezhraničnej spolupráce s MR. </w:t>
      </w:r>
    </w:p>
    <w:p w:rsidR="00FF5868" w:rsidRPr="004E71D5" w:rsidRDefault="00FF5868" w:rsidP="00FF5868">
      <w:pPr>
        <w:spacing w:line="360" w:lineRule="auto"/>
        <w:jc w:val="both"/>
        <w:rPr>
          <w:color w:val="FF0000"/>
        </w:rPr>
      </w:pPr>
    </w:p>
    <w:p w:rsidR="00FF5868" w:rsidRPr="00BC4F23" w:rsidRDefault="00BC4F23" w:rsidP="00FF5868">
      <w:pPr>
        <w:spacing w:line="360" w:lineRule="auto"/>
        <w:jc w:val="both"/>
        <w:rPr>
          <w:b/>
        </w:rPr>
      </w:pPr>
      <w:r w:rsidRPr="00BC4F23">
        <w:rPr>
          <w:b/>
        </w:rPr>
        <w:t>Akvizícia kníh v roku 2014</w:t>
      </w:r>
      <w:r w:rsidR="00FF5868" w:rsidRPr="00BC4F23">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1535"/>
        <w:gridCol w:w="1535"/>
        <w:gridCol w:w="1535"/>
        <w:gridCol w:w="1536"/>
        <w:gridCol w:w="1536"/>
      </w:tblGrid>
      <w:tr w:rsidR="00BC4F23" w:rsidTr="00983050">
        <w:tc>
          <w:tcPr>
            <w:tcW w:w="3070" w:type="dxa"/>
            <w:gridSpan w:val="2"/>
            <w:shd w:val="clear" w:color="auto" w:fill="CCCCCC"/>
          </w:tcPr>
          <w:p w:rsidR="00BC4F23" w:rsidRPr="00FB3087" w:rsidRDefault="00BC4F23" w:rsidP="00983050">
            <w:pPr>
              <w:spacing w:line="360" w:lineRule="auto"/>
              <w:jc w:val="both"/>
              <w:rPr>
                <w:color w:val="000000"/>
              </w:rPr>
            </w:pPr>
            <w:r w:rsidRPr="00FB3087">
              <w:rPr>
                <w:color w:val="000000"/>
              </w:rPr>
              <w:t>Forma získania</w:t>
            </w:r>
          </w:p>
        </w:tc>
        <w:tc>
          <w:tcPr>
            <w:tcW w:w="6142" w:type="dxa"/>
            <w:gridSpan w:val="4"/>
            <w:shd w:val="clear" w:color="auto" w:fill="CCCCCC"/>
          </w:tcPr>
          <w:p w:rsidR="00BC4F23" w:rsidRPr="00FB3087" w:rsidRDefault="00BC4F23" w:rsidP="00983050">
            <w:pPr>
              <w:spacing w:line="360" w:lineRule="auto"/>
              <w:jc w:val="both"/>
              <w:rPr>
                <w:color w:val="000000"/>
              </w:rPr>
            </w:pPr>
            <w:r w:rsidRPr="00FB3087">
              <w:rPr>
                <w:color w:val="FF0000"/>
              </w:rPr>
              <w:t xml:space="preserve">                       </w:t>
            </w:r>
            <w:r w:rsidRPr="00FB3087">
              <w:rPr>
                <w:color w:val="000000"/>
              </w:rPr>
              <w:t>Zloženie prírastkov</w:t>
            </w:r>
          </w:p>
        </w:tc>
      </w:tr>
      <w:tr w:rsidR="00BC4F23" w:rsidTr="00983050">
        <w:tc>
          <w:tcPr>
            <w:tcW w:w="1535" w:type="dxa"/>
          </w:tcPr>
          <w:p w:rsidR="00BC4F23" w:rsidRPr="00FB3087" w:rsidRDefault="00BC4F23" w:rsidP="00983050">
            <w:pPr>
              <w:spacing w:line="360" w:lineRule="auto"/>
              <w:jc w:val="both"/>
              <w:rPr>
                <w:color w:val="000000"/>
              </w:rPr>
            </w:pPr>
            <w:r w:rsidRPr="00FB3087">
              <w:rPr>
                <w:color w:val="000000"/>
              </w:rPr>
              <w:t>Kúpou</w:t>
            </w:r>
          </w:p>
        </w:tc>
        <w:tc>
          <w:tcPr>
            <w:tcW w:w="1535" w:type="dxa"/>
          </w:tcPr>
          <w:p w:rsidR="00BC4F23" w:rsidRPr="00FB3087" w:rsidRDefault="00BC4F23" w:rsidP="00983050">
            <w:pPr>
              <w:spacing w:line="360" w:lineRule="auto"/>
              <w:jc w:val="both"/>
              <w:rPr>
                <w:color w:val="000000"/>
              </w:rPr>
            </w:pPr>
            <w:r w:rsidRPr="00FB3087">
              <w:rPr>
                <w:color w:val="000000"/>
              </w:rPr>
              <w:t>Darom</w:t>
            </w:r>
          </w:p>
        </w:tc>
        <w:tc>
          <w:tcPr>
            <w:tcW w:w="1535" w:type="dxa"/>
          </w:tcPr>
          <w:p w:rsidR="00BC4F23" w:rsidRPr="00FB3087" w:rsidRDefault="00BC4F23" w:rsidP="00983050">
            <w:pPr>
              <w:spacing w:line="360" w:lineRule="auto"/>
              <w:jc w:val="both"/>
              <w:rPr>
                <w:color w:val="000000"/>
              </w:rPr>
            </w:pPr>
            <w:r w:rsidRPr="00FB3087">
              <w:rPr>
                <w:color w:val="000000"/>
              </w:rPr>
              <w:t>Odborná pre</w:t>
            </w:r>
          </w:p>
          <w:p w:rsidR="00BC4F23" w:rsidRPr="00FB3087" w:rsidRDefault="00BC4F23" w:rsidP="00983050">
            <w:pPr>
              <w:spacing w:line="360" w:lineRule="auto"/>
              <w:jc w:val="both"/>
              <w:rPr>
                <w:color w:val="000000"/>
              </w:rPr>
            </w:pPr>
            <w:r w:rsidRPr="00FB3087">
              <w:rPr>
                <w:color w:val="000000"/>
              </w:rPr>
              <w:t>dospelých</w:t>
            </w:r>
          </w:p>
        </w:tc>
        <w:tc>
          <w:tcPr>
            <w:tcW w:w="1535" w:type="dxa"/>
          </w:tcPr>
          <w:p w:rsidR="00BC4F23" w:rsidRPr="00FB3087" w:rsidRDefault="00BC4F23" w:rsidP="00983050">
            <w:pPr>
              <w:spacing w:line="360" w:lineRule="auto"/>
              <w:jc w:val="both"/>
              <w:rPr>
                <w:color w:val="000000"/>
              </w:rPr>
            </w:pPr>
            <w:r w:rsidRPr="00FB3087">
              <w:rPr>
                <w:color w:val="000000"/>
              </w:rPr>
              <w:t>Krásna pre</w:t>
            </w:r>
          </w:p>
          <w:p w:rsidR="00BC4F23" w:rsidRPr="00FB3087" w:rsidRDefault="00BC4F23" w:rsidP="00983050">
            <w:pPr>
              <w:spacing w:line="360" w:lineRule="auto"/>
              <w:jc w:val="both"/>
              <w:rPr>
                <w:color w:val="000000"/>
              </w:rPr>
            </w:pPr>
            <w:r w:rsidRPr="00FB3087">
              <w:rPr>
                <w:color w:val="000000"/>
              </w:rPr>
              <w:t>dospelých</w:t>
            </w:r>
          </w:p>
        </w:tc>
        <w:tc>
          <w:tcPr>
            <w:tcW w:w="1536" w:type="dxa"/>
          </w:tcPr>
          <w:p w:rsidR="00BC4F23" w:rsidRPr="00FB3087" w:rsidRDefault="00BC4F23" w:rsidP="00983050">
            <w:pPr>
              <w:spacing w:line="360" w:lineRule="auto"/>
              <w:jc w:val="both"/>
              <w:rPr>
                <w:color w:val="000000"/>
              </w:rPr>
            </w:pPr>
            <w:r w:rsidRPr="00FB3087">
              <w:rPr>
                <w:color w:val="000000"/>
              </w:rPr>
              <w:t>Odborná pre deti</w:t>
            </w:r>
          </w:p>
        </w:tc>
        <w:tc>
          <w:tcPr>
            <w:tcW w:w="1536" w:type="dxa"/>
          </w:tcPr>
          <w:p w:rsidR="00BC4F23" w:rsidRPr="00FB3087" w:rsidRDefault="00BC4F23" w:rsidP="00983050">
            <w:pPr>
              <w:spacing w:line="360" w:lineRule="auto"/>
              <w:jc w:val="both"/>
              <w:rPr>
                <w:color w:val="000000"/>
              </w:rPr>
            </w:pPr>
            <w:r w:rsidRPr="00FB3087">
              <w:rPr>
                <w:color w:val="000000"/>
              </w:rPr>
              <w:t>Krásna pre deti</w:t>
            </w:r>
          </w:p>
        </w:tc>
      </w:tr>
      <w:tr w:rsidR="00BC4F23" w:rsidTr="00983050">
        <w:tc>
          <w:tcPr>
            <w:tcW w:w="1535" w:type="dxa"/>
          </w:tcPr>
          <w:p w:rsidR="00BC4F23" w:rsidRPr="00FB3087" w:rsidRDefault="00BC4F23" w:rsidP="00983050">
            <w:pPr>
              <w:spacing w:line="360" w:lineRule="auto"/>
              <w:jc w:val="both"/>
              <w:rPr>
                <w:color w:val="000000"/>
              </w:rPr>
            </w:pPr>
            <w:r>
              <w:rPr>
                <w:color w:val="000000"/>
              </w:rPr>
              <w:t>430</w:t>
            </w:r>
          </w:p>
        </w:tc>
        <w:tc>
          <w:tcPr>
            <w:tcW w:w="1535" w:type="dxa"/>
          </w:tcPr>
          <w:p w:rsidR="00BC4F23" w:rsidRPr="00FB3087" w:rsidRDefault="00BC4F23" w:rsidP="00983050">
            <w:pPr>
              <w:spacing w:line="360" w:lineRule="auto"/>
              <w:jc w:val="both"/>
              <w:rPr>
                <w:color w:val="000000"/>
              </w:rPr>
            </w:pPr>
            <w:r>
              <w:rPr>
                <w:color w:val="000000"/>
              </w:rPr>
              <w:t>1813</w:t>
            </w:r>
          </w:p>
        </w:tc>
        <w:tc>
          <w:tcPr>
            <w:tcW w:w="1535" w:type="dxa"/>
          </w:tcPr>
          <w:p w:rsidR="00BC4F23" w:rsidRPr="00FB3087" w:rsidRDefault="00BC4F23" w:rsidP="00983050">
            <w:pPr>
              <w:spacing w:line="360" w:lineRule="auto"/>
              <w:jc w:val="both"/>
              <w:rPr>
                <w:color w:val="000000"/>
              </w:rPr>
            </w:pPr>
            <w:r>
              <w:rPr>
                <w:color w:val="000000"/>
              </w:rPr>
              <w:t>1592</w:t>
            </w:r>
          </w:p>
        </w:tc>
        <w:tc>
          <w:tcPr>
            <w:tcW w:w="1535" w:type="dxa"/>
          </w:tcPr>
          <w:p w:rsidR="00BC4F23" w:rsidRPr="00FB3087" w:rsidRDefault="00BC4F23" w:rsidP="00983050">
            <w:pPr>
              <w:spacing w:line="360" w:lineRule="auto"/>
              <w:jc w:val="both"/>
              <w:rPr>
                <w:color w:val="000000"/>
              </w:rPr>
            </w:pPr>
            <w:r>
              <w:rPr>
                <w:color w:val="000000"/>
              </w:rPr>
              <w:t>447</w:t>
            </w:r>
          </w:p>
        </w:tc>
        <w:tc>
          <w:tcPr>
            <w:tcW w:w="1536" w:type="dxa"/>
          </w:tcPr>
          <w:p w:rsidR="00BC4F23" w:rsidRPr="00FB3087" w:rsidRDefault="00BC4F23" w:rsidP="00983050">
            <w:pPr>
              <w:spacing w:line="360" w:lineRule="auto"/>
              <w:jc w:val="both"/>
              <w:rPr>
                <w:color w:val="000000"/>
              </w:rPr>
            </w:pPr>
            <w:r>
              <w:rPr>
                <w:color w:val="000000"/>
              </w:rPr>
              <w:t>32</w:t>
            </w:r>
          </w:p>
        </w:tc>
        <w:tc>
          <w:tcPr>
            <w:tcW w:w="1536" w:type="dxa"/>
          </w:tcPr>
          <w:p w:rsidR="00BC4F23" w:rsidRPr="00FB3087" w:rsidRDefault="00BC4F23" w:rsidP="00983050">
            <w:pPr>
              <w:spacing w:line="360" w:lineRule="auto"/>
              <w:jc w:val="both"/>
              <w:rPr>
                <w:color w:val="000000"/>
              </w:rPr>
            </w:pPr>
            <w:r>
              <w:rPr>
                <w:color w:val="000000"/>
              </w:rPr>
              <w:t>172</w:t>
            </w:r>
          </w:p>
        </w:tc>
      </w:tr>
      <w:tr w:rsidR="00BC4F23" w:rsidTr="00983050">
        <w:tc>
          <w:tcPr>
            <w:tcW w:w="3070" w:type="dxa"/>
            <w:gridSpan w:val="2"/>
          </w:tcPr>
          <w:p w:rsidR="00BC4F23" w:rsidRPr="00FB3087" w:rsidRDefault="00BC4F23" w:rsidP="00983050">
            <w:pPr>
              <w:spacing w:line="360" w:lineRule="auto"/>
              <w:jc w:val="both"/>
              <w:rPr>
                <w:color w:val="000000"/>
              </w:rPr>
            </w:pPr>
            <w:r>
              <w:rPr>
                <w:color w:val="000000"/>
              </w:rPr>
              <w:t>Spolu : 2243</w:t>
            </w:r>
          </w:p>
        </w:tc>
        <w:tc>
          <w:tcPr>
            <w:tcW w:w="6142" w:type="dxa"/>
            <w:gridSpan w:val="4"/>
          </w:tcPr>
          <w:p w:rsidR="00BC4F23" w:rsidRPr="00FB3087" w:rsidRDefault="00BC4F23" w:rsidP="00983050">
            <w:pPr>
              <w:spacing w:line="360" w:lineRule="auto"/>
              <w:jc w:val="both"/>
              <w:rPr>
                <w:color w:val="000000"/>
              </w:rPr>
            </w:pPr>
            <w:r>
              <w:rPr>
                <w:color w:val="000000"/>
              </w:rPr>
              <w:t>Spolu : 2243</w:t>
            </w:r>
          </w:p>
        </w:tc>
      </w:tr>
    </w:tbl>
    <w:p w:rsidR="00BC4F23" w:rsidRDefault="00BC4F23" w:rsidP="00FF5868">
      <w:pPr>
        <w:spacing w:line="36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976"/>
        <w:gridCol w:w="3402"/>
      </w:tblGrid>
      <w:tr w:rsidR="00BC4F23" w:rsidTr="00BC4F23">
        <w:trPr>
          <w:trHeight w:val="431"/>
        </w:trPr>
        <w:tc>
          <w:tcPr>
            <w:tcW w:w="9180" w:type="dxa"/>
            <w:gridSpan w:val="3"/>
            <w:tcBorders>
              <w:top w:val="nil"/>
            </w:tcBorders>
            <w:shd w:val="clear" w:color="auto" w:fill="CCCCCC"/>
          </w:tcPr>
          <w:p w:rsidR="00BC4F23" w:rsidRPr="00FB3087" w:rsidRDefault="00BC4F23" w:rsidP="00983050">
            <w:pPr>
              <w:spacing w:line="360" w:lineRule="auto"/>
              <w:jc w:val="both"/>
              <w:rPr>
                <w:color w:val="000000"/>
              </w:rPr>
            </w:pPr>
            <w:r w:rsidRPr="00FB3087">
              <w:rPr>
                <w:color w:val="FF0000"/>
              </w:rPr>
              <w:t xml:space="preserve">                              </w:t>
            </w:r>
            <w:r w:rsidRPr="00FB3087">
              <w:rPr>
                <w:color w:val="000000"/>
              </w:rPr>
              <w:t>Jazykové zloženie prírastkov</w:t>
            </w:r>
          </w:p>
        </w:tc>
      </w:tr>
      <w:tr w:rsidR="00BC4F23" w:rsidTr="00BC4F23">
        <w:trPr>
          <w:trHeight w:val="431"/>
        </w:trPr>
        <w:tc>
          <w:tcPr>
            <w:tcW w:w="2802" w:type="dxa"/>
          </w:tcPr>
          <w:p w:rsidR="00BC4F23" w:rsidRPr="00FB3087" w:rsidRDefault="00BC4F23" w:rsidP="00983050">
            <w:pPr>
              <w:spacing w:line="360" w:lineRule="auto"/>
              <w:jc w:val="both"/>
              <w:rPr>
                <w:color w:val="000000"/>
              </w:rPr>
            </w:pPr>
            <w:r w:rsidRPr="00FB3087">
              <w:rPr>
                <w:color w:val="000000"/>
              </w:rPr>
              <w:t>Slovenský jazyk</w:t>
            </w:r>
          </w:p>
        </w:tc>
        <w:tc>
          <w:tcPr>
            <w:tcW w:w="2976" w:type="dxa"/>
          </w:tcPr>
          <w:p w:rsidR="00BC4F23" w:rsidRPr="00FB3087" w:rsidRDefault="00BC4F23" w:rsidP="00983050">
            <w:pPr>
              <w:spacing w:line="360" w:lineRule="auto"/>
              <w:jc w:val="both"/>
              <w:rPr>
                <w:color w:val="000000"/>
              </w:rPr>
            </w:pPr>
            <w:r w:rsidRPr="00FB3087">
              <w:rPr>
                <w:color w:val="000000"/>
              </w:rPr>
              <w:t>Maďarský jazyk</w:t>
            </w:r>
          </w:p>
        </w:tc>
        <w:tc>
          <w:tcPr>
            <w:tcW w:w="3402" w:type="dxa"/>
          </w:tcPr>
          <w:p w:rsidR="00BC4F23" w:rsidRPr="00FB3087" w:rsidRDefault="00BC4F23" w:rsidP="00983050">
            <w:pPr>
              <w:spacing w:line="360" w:lineRule="auto"/>
              <w:jc w:val="both"/>
              <w:rPr>
                <w:color w:val="000000"/>
              </w:rPr>
            </w:pPr>
            <w:r w:rsidRPr="00FB3087">
              <w:rPr>
                <w:color w:val="000000"/>
              </w:rPr>
              <w:t>Český jazyk</w:t>
            </w:r>
          </w:p>
        </w:tc>
      </w:tr>
      <w:tr w:rsidR="00BC4F23" w:rsidTr="00BC4F23">
        <w:trPr>
          <w:trHeight w:val="431"/>
        </w:trPr>
        <w:tc>
          <w:tcPr>
            <w:tcW w:w="2802" w:type="dxa"/>
          </w:tcPr>
          <w:p w:rsidR="00BC4F23" w:rsidRPr="00FB3087" w:rsidRDefault="00BC4F23" w:rsidP="00983050">
            <w:pPr>
              <w:spacing w:line="360" w:lineRule="auto"/>
              <w:jc w:val="both"/>
              <w:rPr>
                <w:color w:val="000000"/>
              </w:rPr>
            </w:pPr>
            <w:r>
              <w:rPr>
                <w:color w:val="000000"/>
              </w:rPr>
              <w:t>373</w:t>
            </w:r>
          </w:p>
        </w:tc>
        <w:tc>
          <w:tcPr>
            <w:tcW w:w="2976" w:type="dxa"/>
          </w:tcPr>
          <w:p w:rsidR="00BC4F23" w:rsidRPr="00FB3087" w:rsidRDefault="00BC4F23" w:rsidP="00983050">
            <w:pPr>
              <w:spacing w:line="360" w:lineRule="auto"/>
              <w:jc w:val="both"/>
              <w:rPr>
                <w:color w:val="000000"/>
              </w:rPr>
            </w:pPr>
            <w:r>
              <w:rPr>
                <w:color w:val="000000"/>
              </w:rPr>
              <w:t>179</w:t>
            </w:r>
          </w:p>
        </w:tc>
        <w:tc>
          <w:tcPr>
            <w:tcW w:w="3402" w:type="dxa"/>
          </w:tcPr>
          <w:p w:rsidR="00BC4F23" w:rsidRPr="00FB3087" w:rsidRDefault="00BC4F23" w:rsidP="00983050">
            <w:pPr>
              <w:spacing w:line="360" w:lineRule="auto"/>
              <w:jc w:val="both"/>
              <w:rPr>
                <w:color w:val="000000"/>
              </w:rPr>
            </w:pPr>
            <w:r>
              <w:rPr>
                <w:color w:val="000000"/>
              </w:rPr>
              <w:t>43</w:t>
            </w:r>
          </w:p>
        </w:tc>
      </w:tr>
      <w:tr w:rsidR="00BC4F23" w:rsidTr="00BC4F23">
        <w:trPr>
          <w:trHeight w:val="431"/>
        </w:trPr>
        <w:tc>
          <w:tcPr>
            <w:tcW w:w="9180" w:type="dxa"/>
            <w:gridSpan w:val="3"/>
          </w:tcPr>
          <w:p w:rsidR="00BC4F23" w:rsidRPr="00DB7792" w:rsidRDefault="00BC4F23" w:rsidP="00983050">
            <w:pPr>
              <w:spacing w:line="360" w:lineRule="auto"/>
              <w:jc w:val="both"/>
              <w:rPr>
                <w:b/>
                <w:color w:val="000000"/>
              </w:rPr>
            </w:pPr>
            <w:r>
              <w:rPr>
                <w:color w:val="000000"/>
              </w:rPr>
              <w:t xml:space="preserve">Spolu : 2212 +31 zv. inojazyčnej literatúry   </w:t>
            </w:r>
            <w:r>
              <w:rPr>
                <w:b/>
                <w:color w:val="000000"/>
              </w:rPr>
              <w:t>Spolu: 2243 zv.</w:t>
            </w:r>
          </w:p>
        </w:tc>
      </w:tr>
    </w:tbl>
    <w:p w:rsidR="00BC4F23" w:rsidRPr="004E71D5" w:rsidRDefault="00BC4F23" w:rsidP="00FF5868">
      <w:pPr>
        <w:spacing w:line="360" w:lineRule="auto"/>
        <w:jc w:val="both"/>
      </w:pPr>
    </w:p>
    <w:p w:rsidR="00FF5868" w:rsidRPr="004E71D5" w:rsidRDefault="00FF5868" w:rsidP="00FF5868">
      <w:pPr>
        <w:spacing w:line="360" w:lineRule="auto"/>
        <w:jc w:val="both"/>
        <w:rPr>
          <w:color w:val="FF0000"/>
        </w:rPr>
      </w:pPr>
    </w:p>
    <w:p w:rsidR="00BC4F23" w:rsidRPr="00FD7BC7" w:rsidRDefault="00BC4F23" w:rsidP="00BC4F23">
      <w:pPr>
        <w:spacing w:line="360" w:lineRule="auto"/>
        <w:jc w:val="both"/>
      </w:pPr>
      <w:r w:rsidRPr="00FD7BC7">
        <w:t>Knižnica pre svojich čitateľov objednávala 16 druhov novín  a časopisov: Pravda, Sme, Új Szó, Novohradské noviny, Nový čas pre ženy, Slovenka, Týždeň, Szabad Újság, Vasárnap, Kiskegyed, Krásy Slovenska, Pekné bývanie, Lakáskultúra, Záhradkár, Zdravie, Historická Revue.</w:t>
      </w:r>
    </w:p>
    <w:p w:rsidR="00FF5868" w:rsidRPr="004E71D5" w:rsidRDefault="00BC4F23" w:rsidP="00FF5868">
      <w:pPr>
        <w:spacing w:line="360" w:lineRule="auto"/>
        <w:jc w:val="both"/>
      </w:pPr>
      <w:r>
        <w:t>Ku koncu roka 2014</w:t>
      </w:r>
      <w:r w:rsidRPr="00FD7BC7">
        <w:t xml:space="preserve"> tvori</w:t>
      </w:r>
      <w:r>
        <w:t xml:space="preserve">lo fond Mestskej knižnice 33.820 zv. kníh v hodnote   75.244,53 </w:t>
      </w:r>
      <w:r w:rsidRPr="00FD7BC7">
        <w:t xml:space="preserve">€. </w:t>
      </w:r>
    </w:p>
    <w:p w:rsidR="00FF5868" w:rsidRPr="004E71D5" w:rsidRDefault="00FF5868" w:rsidP="00FF5868">
      <w:pPr>
        <w:spacing w:line="360" w:lineRule="auto"/>
        <w:jc w:val="both"/>
      </w:pPr>
    </w:p>
    <w:p w:rsidR="00FF5868" w:rsidRPr="00BC4F23" w:rsidRDefault="00FF5868" w:rsidP="00FF5868">
      <w:pPr>
        <w:spacing w:line="360" w:lineRule="auto"/>
        <w:jc w:val="both"/>
        <w:rPr>
          <w:b/>
        </w:rPr>
      </w:pPr>
      <w:r w:rsidRPr="00BC4F23">
        <w:rPr>
          <w:b/>
        </w:rPr>
        <w:t>Z</w:t>
      </w:r>
      <w:r w:rsidR="00BC4F23" w:rsidRPr="00BC4F23">
        <w:rPr>
          <w:b/>
        </w:rPr>
        <w:t>loženie fondu ku koncu roka 2014</w:t>
      </w:r>
      <w:r w:rsidRPr="00BC4F23">
        <w:rPr>
          <w:b/>
        </w:rPr>
        <w:t>:</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26"/>
      </w:tblGrid>
      <w:tr w:rsidR="00BC4F23" w:rsidRPr="00FD7BC7" w:rsidTr="00983050">
        <w:tc>
          <w:tcPr>
            <w:tcW w:w="4941" w:type="dxa"/>
          </w:tcPr>
          <w:p w:rsidR="00BC4F23" w:rsidRPr="00FD7BC7" w:rsidRDefault="00BC4F23" w:rsidP="00983050">
            <w:pPr>
              <w:spacing w:line="360" w:lineRule="auto"/>
              <w:jc w:val="both"/>
            </w:pPr>
            <w:r w:rsidRPr="00FD7BC7">
              <w:t>Odborná literatúra pre dospelých čitateľov</w:t>
            </w:r>
          </w:p>
        </w:tc>
        <w:tc>
          <w:tcPr>
            <w:tcW w:w="4942" w:type="dxa"/>
          </w:tcPr>
          <w:p w:rsidR="00BC4F23" w:rsidRPr="00FD7BC7" w:rsidRDefault="00BC4F23" w:rsidP="00983050">
            <w:pPr>
              <w:spacing w:line="360" w:lineRule="auto"/>
              <w:jc w:val="both"/>
            </w:pPr>
            <w:r>
              <w:t xml:space="preserve"> 11 407</w:t>
            </w:r>
          </w:p>
        </w:tc>
      </w:tr>
      <w:tr w:rsidR="00BC4F23" w:rsidRPr="00FD7BC7" w:rsidTr="00983050">
        <w:tc>
          <w:tcPr>
            <w:tcW w:w="4941" w:type="dxa"/>
          </w:tcPr>
          <w:p w:rsidR="00BC4F23" w:rsidRPr="00FD7BC7" w:rsidRDefault="00BC4F23" w:rsidP="00983050">
            <w:pPr>
              <w:spacing w:line="360" w:lineRule="auto"/>
              <w:jc w:val="both"/>
            </w:pPr>
            <w:r w:rsidRPr="00FD7BC7">
              <w:t>Krásna literatúra pre dospelých čitateľov</w:t>
            </w:r>
          </w:p>
        </w:tc>
        <w:tc>
          <w:tcPr>
            <w:tcW w:w="4942" w:type="dxa"/>
          </w:tcPr>
          <w:p w:rsidR="00BC4F23" w:rsidRPr="00FD7BC7" w:rsidRDefault="00BC4F23" w:rsidP="00983050">
            <w:pPr>
              <w:spacing w:line="360" w:lineRule="auto"/>
              <w:jc w:val="both"/>
            </w:pPr>
            <w:r>
              <w:t xml:space="preserve"> 15 436</w:t>
            </w:r>
          </w:p>
        </w:tc>
      </w:tr>
      <w:tr w:rsidR="00BC4F23" w:rsidRPr="00FD7BC7" w:rsidTr="00983050">
        <w:tc>
          <w:tcPr>
            <w:tcW w:w="4941" w:type="dxa"/>
          </w:tcPr>
          <w:p w:rsidR="00BC4F23" w:rsidRPr="00FD7BC7" w:rsidRDefault="00BC4F23" w:rsidP="00983050">
            <w:pPr>
              <w:spacing w:line="360" w:lineRule="auto"/>
              <w:jc w:val="both"/>
            </w:pPr>
            <w:r w:rsidRPr="00FD7BC7">
              <w:t>Odborná literatúra pre deti</w:t>
            </w:r>
          </w:p>
        </w:tc>
        <w:tc>
          <w:tcPr>
            <w:tcW w:w="4942" w:type="dxa"/>
          </w:tcPr>
          <w:p w:rsidR="00BC4F23" w:rsidRPr="00FD7BC7" w:rsidRDefault="00BC4F23" w:rsidP="00983050">
            <w:pPr>
              <w:spacing w:line="360" w:lineRule="auto"/>
              <w:jc w:val="both"/>
            </w:pPr>
            <w:r>
              <w:t xml:space="preserve">   1 315</w:t>
            </w:r>
          </w:p>
        </w:tc>
      </w:tr>
      <w:tr w:rsidR="00BC4F23" w:rsidRPr="00FD7BC7" w:rsidTr="00983050">
        <w:tc>
          <w:tcPr>
            <w:tcW w:w="4941" w:type="dxa"/>
          </w:tcPr>
          <w:p w:rsidR="00BC4F23" w:rsidRPr="00FD7BC7" w:rsidRDefault="00BC4F23" w:rsidP="00983050">
            <w:pPr>
              <w:spacing w:line="360" w:lineRule="auto"/>
              <w:jc w:val="both"/>
            </w:pPr>
            <w:r w:rsidRPr="00FD7BC7">
              <w:t>Krásna literatúra pre deti</w:t>
            </w:r>
          </w:p>
        </w:tc>
        <w:tc>
          <w:tcPr>
            <w:tcW w:w="4942" w:type="dxa"/>
          </w:tcPr>
          <w:p w:rsidR="00BC4F23" w:rsidRPr="00FD7BC7" w:rsidRDefault="00BC4F23" w:rsidP="00983050">
            <w:pPr>
              <w:spacing w:line="360" w:lineRule="auto"/>
              <w:jc w:val="both"/>
            </w:pPr>
            <w:r>
              <w:t xml:space="preserve">   5 662</w:t>
            </w:r>
          </w:p>
        </w:tc>
      </w:tr>
      <w:tr w:rsidR="00BC4F23" w:rsidRPr="00F91878" w:rsidTr="00983050">
        <w:tc>
          <w:tcPr>
            <w:tcW w:w="4941" w:type="dxa"/>
          </w:tcPr>
          <w:p w:rsidR="00BC4F23" w:rsidRPr="00FD7BC7" w:rsidRDefault="00BC4F23" w:rsidP="00983050">
            <w:pPr>
              <w:spacing w:line="360" w:lineRule="auto"/>
              <w:jc w:val="both"/>
            </w:pPr>
            <w:r w:rsidRPr="00FD7BC7">
              <w:t>Spolu</w:t>
            </w:r>
          </w:p>
        </w:tc>
        <w:tc>
          <w:tcPr>
            <w:tcW w:w="4942" w:type="dxa"/>
          </w:tcPr>
          <w:p w:rsidR="00BC4F23" w:rsidRPr="00F91878" w:rsidRDefault="00BC4F23" w:rsidP="00983050">
            <w:pPr>
              <w:spacing w:line="360" w:lineRule="auto"/>
              <w:jc w:val="both"/>
              <w:rPr>
                <w:b/>
              </w:rPr>
            </w:pPr>
            <w:r w:rsidRPr="00FD7BC7">
              <w:t xml:space="preserve"> </w:t>
            </w:r>
            <w:r>
              <w:rPr>
                <w:b/>
              </w:rPr>
              <w:t>33 820</w:t>
            </w:r>
          </w:p>
        </w:tc>
      </w:tr>
    </w:tbl>
    <w:p w:rsidR="00FF5868" w:rsidRPr="004E71D5" w:rsidRDefault="00FF5868" w:rsidP="00FF5868">
      <w:pPr>
        <w:spacing w:line="360" w:lineRule="auto"/>
        <w:jc w:val="both"/>
      </w:pPr>
    </w:p>
    <w:p w:rsidR="00FF5868" w:rsidRDefault="00FF5868" w:rsidP="00FF5868">
      <w:pPr>
        <w:spacing w:line="360" w:lineRule="auto"/>
        <w:jc w:val="both"/>
      </w:pPr>
      <w:r w:rsidRPr="004E71D5">
        <w:lastRenderedPageBreak/>
        <w:tab/>
        <w:t xml:space="preserve">Knižnica pokračovala s retrospektívnym a priebežným elektronickým spracovávaním fondu </w:t>
      </w:r>
      <w:r w:rsidR="00BC4F23">
        <w:t>v programe KIS MASK. V roku 2014</w:t>
      </w:r>
      <w:r w:rsidRPr="004E71D5">
        <w:t xml:space="preserve"> sa spracovalo </w:t>
      </w:r>
      <w:r w:rsidR="00BC4F23">
        <w:t xml:space="preserve">12 605 </w:t>
      </w:r>
      <w:r w:rsidRPr="004E71D5">
        <w:t xml:space="preserve">zv. kníh, teda celkovo ku koncu roka bolo </w:t>
      </w:r>
      <w:r w:rsidR="00BC4F23">
        <w:t>elektronicky spracovaných 29707</w:t>
      </w:r>
      <w:r w:rsidRPr="004E71D5">
        <w:t xml:space="preserve"> zv. kníh. Elektronický on-line katalóg knižnice bol dostupný cez spoločnú internetovú stránku HMF (www.hradfilakovo.sk) stále len počas pracovnej doby zamestnancov knižnice, on-line rezervácia bude aktivovaná až po prevedení celého knižného fondu do systému </w:t>
      </w:r>
      <w:r w:rsidR="00983050">
        <w:t xml:space="preserve">(spolu so zväzkami odbornej knižnice) </w:t>
      </w:r>
      <w:r w:rsidRPr="004E71D5">
        <w:t xml:space="preserve">a po vytvorení vhodného servera. Knižný fond sa proti krádežiam chráni elektromagnetickým ochranným systémom. </w:t>
      </w:r>
    </w:p>
    <w:p w:rsidR="00983050" w:rsidRPr="004E71D5" w:rsidRDefault="00983050" w:rsidP="00FF5868">
      <w:pPr>
        <w:spacing w:line="360" w:lineRule="auto"/>
        <w:jc w:val="both"/>
      </w:pPr>
    </w:p>
    <w:p w:rsidR="00983050" w:rsidRPr="00FD7BC7" w:rsidRDefault="00983050" w:rsidP="00983050">
      <w:pPr>
        <w:spacing w:line="360" w:lineRule="auto"/>
        <w:jc w:val="both"/>
        <w:outlineLvl w:val="0"/>
        <w:rPr>
          <w:color w:val="FF0000"/>
        </w:rPr>
      </w:pPr>
      <w:r w:rsidRPr="00FD7BC7">
        <w:rPr>
          <w:b/>
          <w:i/>
        </w:rPr>
        <w:t>III. Výpožičky a registrovaní používatelia</w:t>
      </w:r>
    </w:p>
    <w:p w:rsidR="00983050" w:rsidRPr="00FD7BC7" w:rsidRDefault="00983050" w:rsidP="00983050">
      <w:pPr>
        <w:spacing w:line="360" w:lineRule="auto"/>
        <w:jc w:val="both"/>
      </w:pPr>
      <w:r>
        <w:t>V roku 2014 knižnica zrealizovala 22 862 výpožičiek absenčných (mimo knižnicu) a 5186 výpožičiek prezenčných (čítaných v knižnici).</w:t>
      </w:r>
    </w:p>
    <w:p w:rsidR="00983050" w:rsidRPr="00FD7BC7" w:rsidRDefault="00983050" w:rsidP="00983050">
      <w:pPr>
        <w:spacing w:line="360" w:lineRule="auto"/>
        <w:jc w:val="both"/>
      </w:pPr>
      <w:r w:rsidRPr="00FD7BC7">
        <w:t>Z celkového počtu výpožičiek predstavovali:</w:t>
      </w:r>
    </w:p>
    <w:p w:rsidR="00983050" w:rsidRPr="00FD7BC7" w:rsidRDefault="00983050" w:rsidP="00983050">
      <w:pPr>
        <w:numPr>
          <w:ilvl w:val="0"/>
          <w:numId w:val="1"/>
        </w:numPr>
        <w:spacing w:line="360" w:lineRule="auto"/>
        <w:jc w:val="both"/>
      </w:pPr>
      <w:r w:rsidRPr="00FD7BC7">
        <w:t>odborná literatúr</w:t>
      </w:r>
      <w:r>
        <w:t>a pre dospelých čitateľov:   1.492</w:t>
      </w:r>
      <w:r w:rsidRPr="00FD7BC7">
        <w:t xml:space="preserve"> zv.</w:t>
      </w:r>
    </w:p>
    <w:p w:rsidR="00983050" w:rsidRPr="00FD7BC7" w:rsidRDefault="00983050" w:rsidP="00983050">
      <w:pPr>
        <w:numPr>
          <w:ilvl w:val="0"/>
          <w:numId w:val="1"/>
        </w:numPr>
        <w:spacing w:line="360" w:lineRule="auto"/>
        <w:jc w:val="both"/>
      </w:pPr>
      <w:r w:rsidRPr="00FD7BC7">
        <w:t>krásna literatúra p</w:t>
      </w:r>
      <w:r>
        <w:t>re dospelých čitateľov:    13.468</w:t>
      </w:r>
      <w:r w:rsidRPr="00FD7BC7">
        <w:t xml:space="preserve"> zv.</w:t>
      </w:r>
    </w:p>
    <w:p w:rsidR="00983050" w:rsidRPr="00FD7BC7" w:rsidRDefault="00983050" w:rsidP="00983050">
      <w:pPr>
        <w:numPr>
          <w:ilvl w:val="0"/>
          <w:numId w:val="1"/>
        </w:numPr>
        <w:spacing w:line="360" w:lineRule="auto"/>
        <w:jc w:val="both"/>
      </w:pPr>
      <w:r w:rsidRPr="00FD7BC7">
        <w:t xml:space="preserve">odborná literatúra pre </w:t>
      </w:r>
      <w:r>
        <w:t xml:space="preserve">deti:                         </w:t>
      </w:r>
      <w:r w:rsidRPr="00FD7BC7">
        <w:t xml:space="preserve">  </w:t>
      </w:r>
      <w:r>
        <w:t xml:space="preserve"> 1.028</w:t>
      </w:r>
      <w:r w:rsidRPr="00FD7BC7">
        <w:t xml:space="preserve"> zv.</w:t>
      </w:r>
    </w:p>
    <w:p w:rsidR="00983050" w:rsidRPr="00FD7BC7" w:rsidRDefault="00983050" w:rsidP="00983050">
      <w:pPr>
        <w:numPr>
          <w:ilvl w:val="0"/>
          <w:numId w:val="1"/>
        </w:numPr>
        <w:spacing w:line="360" w:lineRule="auto"/>
        <w:jc w:val="both"/>
      </w:pPr>
      <w:r w:rsidRPr="00FD7BC7">
        <w:t xml:space="preserve">krásna literatúra pre deti:   </w:t>
      </w:r>
      <w:r>
        <w:t xml:space="preserve">                            6.152</w:t>
      </w:r>
      <w:r w:rsidRPr="00FD7BC7">
        <w:t xml:space="preserve"> zv.</w:t>
      </w:r>
    </w:p>
    <w:p w:rsidR="00983050" w:rsidRDefault="00983050" w:rsidP="00983050">
      <w:pPr>
        <w:numPr>
          <w:ilvl w:val="0"/>
          <w:numId w:val="1"/>
        </w:numPr>
        <w:spacing w:line="360" w:lineRule="auto"/>
        <w:jc w:val="both"/>
      </w:pPr>
      <w:r w:rsidRPr="00FD7BC7">
        <w:t xml:space="preserve">výpožičky periodík:            </w:t>
      </w:r>
      <w:r>
        <w:t xml:space="preserve">                             722 ks.</w:t>
      </w:r>
    </w:p>
    <w:p w:rsidR="00983050" w:rsidRPr="00FD7BC7" w:rsidRDefault="00983050" w:rsidP="00983050">
      <w:pPr>
        <w:numPr>
          <w:ilvl w:val="0"/>
          <w:numId w:val="1"/>
        </w:numPr>
        <w:spacing w:line="360" w:lineRule="auto"/>
        <w:jc w:val="both"/>
      </w:pPr>
      <w:r>
        <w:t>Spolu absenčné výpožičky:                         22.862 zv.</w:t>
      </w:r>
    </w:p>
    <w:p w:rsidR="00983050" w:rsidRPr="00FD7BC7" w:rsidRDefault="00983050" w:rsidP="00983050">
      <w:pPr>
        <w:numPr>
          <w:ilvl w:val="0"/>
          <w:numId w:val="1"/>
        </w:numPr>
        <w:spacing w:line="360" w:lineRule="auto"/>
        <w:jc w:val="both"/>
      </w:pPr>
      <w:r w:rsidRPr="00FD7BC7">
        <w:t xml:space="preserve">prezenčné výpožičky:        </w:t>
      </w:r>
      <w:r>
        <w:t xml:space="preserve">                           5.186</w:t>
      </w:r>
      <w:r w:rsidRPr="00FD7BC7">
        <w:t xml:space="preserve"> zv. </w:t>
      </w:r>
    </w:p>
    <w:p w:rsidR="00983050" w:rsidRDefault="00983050" w:rsidP="00983050">
      <w:pPr>
        <w:spacing w:line="360" w:lineRule="auto"/>
        <w:ind w:left="720"/>
        <w:jc w:val="both"/>
        <w:outlineLvl w:val="0"/>
        <w:rPr>
          <w:b/>
        </w:rPr>
      </w:pPr>
      <w:r w:rsidRPr="00FD7BC7">
        <w:rPr>
          <w:b/>
        </w:rPr>
        <w:t xml:space="preserve">SPOLU:                            </w:t>
      </w:r>
      <w:r>
        <w:rPr>
          <w:b/>
        </w:rPr>
        <w:t xml:space="preserve">                         28.048 zv.</w:t>
      </w:r>
    </w:p>
    <w:p w:rsidR="00983050" w:rsidRDefault="00983050" w:rsidP="00983050">
      <w:pPr>
        <w:spacing w:line="360" w:lineRule="auto"/>
        <w:ind w:left="720"/>
        <w:jc w:val="both"/>
        <w:outlineLvl w:val="0"/>
        <w:rPr>
          <w:b/>
        </w:rPr>
      </w:pPr>
    </w:p>
    <w:p w:rsidR="00983050" w:rsidRPr="00FD7BC7" w:rsidRDefault="00983050" w:rsidP="00983050">
      <w:pPr>
        <w:spacing w:line="360" w:lineRule="auto"/>
        <w:jc w:val="both"/>
        <w:outlineLvl w:val="0"/>
        <w:rPr>
          <w:b/>
          <w:i/>
        </w:rPr>
      </w:pPr>
      <w:r w:rsidRPr="00FD7BC7">
        <w:rPr>
          <w:b/>
          <w:i/>
        </w:rPr>
        <w:t>2. Používatelia</w:t>
      </w:r>
    </w:p>
    <w:p w:rsidR="00983050" w:rsidRDefault="00983050" w:rsidP="00983050">
      <w:pPr>
        <w:spacing w:line="360" w:lineRule="auto"/>
        <w:jc w:val="both"/>
        <w:outlineLvl w:val="0"/>
        <w:rPr>
          <w:b/>
          <w:i/>
        </w:rPr>
      </w:pPr>
      <w:r>
        <w:t>V knižnici bolo v roku 2014 registrovaných 954 používateľov, z toho 679</w:t>
      </w:r>
      <w:r w:rsidRPr="00FD7BC7">
        <w:t xml:space="preserve"> tvorili používatelia do 15 rokov. Prudký nárast používateľov do 15 rokov nastal vďaka dobrej spolupráci so základnými školami v meste, využívaním „Kariet priateľov hradu“, ktoré umožňujú zápis deťom do knižnice zdarma. Knižnicu na</w:t>
      </w:r>
      <w:r>
        <w:t>vštívilo v roku 2014 spolu 4.763 návštevníkov, z toho bolo 1 199</w:t>
      </w:r>
      <w:r w:rsidRPr="00FD7BC7">
        <w:t xml:space="preserve"> návštevníkov podujatí.</w:t>
      </w:r>
      <w:r w:rsidRPr="00B239EA">
        <w:rPr>
          <w:b/>
          <w:i/>
        </w:rPr>
        <w:t xml:space="preserve"> </w:t>
      </w:r>
    </w:p>
    <w:p w:rsidR="00983050" w:rsidRDefault="00983050" w:rsidP="00983050">
      <w:pPr>
        <w:spacing w:line="360" w:lineRule="auto"/>
        <w:jc w:val="both"/>
        <w:outlineLvl w:val="0"/>
        <w:rPr>
          <w:b/>
          <w:i/>
        </w:rPr>
      </w:pPr>
    </w:p>
    <w:p w:rsidR="00983050" w:rsidRPr="00FD7BC7" w:rsidRDefault="00983050" w:rsidP="00983050">
      <w:pPr>
        <w:spacing w:line="360" w:lineRule="auto"/>
        <w:jc w:val="both"/>
        <w:outlineLvl w:val="0"/>
        <w:rPr>
          <w:b/>
          <w:i/>
        </w:rPr>
      </w:pPr>
      <w:r w:rsidRPr="00FD7BC7">
        <w:rPr>
          <w:b/>
          <w:i/>
        </w:rPr>
        <w:t>3. Iné služby knižnice</w:t>
      </w:r>
    </w:p>
    <w:p w:rsidR="00983050" w:rsidRDefault="00983050" w:rsidP="00983050">
      <w:pPr>
        <w:spacing w:line="360" w:lineRule="auto"/>
        <w:jc w:val="both"/>
      </w:pPr>
      <w:r w:rsidRPr="00FD7BC7">
        <w:t>Mestská knižnica zabezpečuje pre svojich čitateľov aj medziknižničnú výpožičnú službu (MVS) – z iných kniž</w:t>
      </w:r>
      <w:r>
        <w:t>níc sa pre čitateľov požičalo 18</w:t>
      </w:r>
      <w:r w:rsidRPr="00FD7BC7">
        <w:t xml:space="preserve"> zv. Online služby (verejn</w:t>
      </w:r>
      <w:r>
        <w:t>ý internet) knižnice využilo 321</w:t>
      </w:r>
      <w:r w:rsidRPr="00FD7BC7">
        <w:t xml:space="preserve"> návštevníkov. Internet je pre členov knižnice prístupný každý deň na hodinu zdarma. Inštitúcia poskytuje aj kopírovacie služby.</w:t>
      </w:r>
    </w:p>
    <w:p w:rsidR="00983050" w:rsidRPr="00FD7BC7" w:rsidRDefault="00983050" w:rsidP="00983050">
      <w:pPr>
        <w:spacing w:line="360" w:lineRule="auto"/>
        <w:jc w:val="both"/>
        <w:outlineLvl w:val="0"/>
        <w:rPr>
          <w:b/>
          <w:i/>
        </w:rPr>
      </w:pPr>
      <w:r w:rsidRPr="00FD7BC7">
        <w:rPr>
          <w:b/>
          <w:i/>
        </w:rPr>
        <w:lastRenderedPageBreak/>
        <w:t>IV. Vzdelávacie a kultúrno-spoločenské podujatia</w:t>
      </w:r>
    </w:p>
    <w:p w:rsidR="00983050" w:rsidRDefault="00983050" w:rsidP="00983050">
      <w:pPr>
        <w:spacing w:line="360" w:lineRule="auto"/>
        <w:jc w:val="both"/>
      </w:pPr>
      <w:r>
        <w:t>V roku 2014</w:t>
      </w:r>
      <w:r w:rsidRPr="00FD7BC7">
        <w:t xml:space="preserve"> sa v knižnici </w:t>
      </w:r>
      <w:r>
        <w:t>uskutočnilo 50</w:t>
      </w:r>
      <w:r w:rsidRPr="00FD7BC7">
        <w:t xml:space="preserve"> podujatí pre verejnosť, kt</w:t>
      </w:r>
      <w:r>
        <w:t>orých sa zúčastnilo spolu  1 199</w:t>
      </w:r>
      <w:r w:rsidRPr="00FD7BC7">
        <w:t xml:space="preserve"> návštevníkov:</w:t>
      </w:r>
    </w:p>
    <w:p w:rsidR="00983050" w:rsidRDefault="00983050" w:rsidP="00983050">
      <w:pPr>
        <w:numPr>
          <w:ilvl w:val="0"/>
          <w:numId w:val="1"/>
        </w:numPr>
        <w:spacing w:line="360" w:lineRule="auto"/>
        <w:jc w:val="both"/>
      </w:pPr>
      <w:r w:rsidRPr="00FD7BC7">
        <w:t xml:space="preserve">informačná výchova:  </w:t>
      </w:r>
      <w:r>
        <w:t>3</w:t>
      </w:r>
    </w:p>
    <w:p w:rsidR="00983050" w:rsidRDefault="00983050" w:rsidP="00983050">
      <w:pPr>
        <w:numPr>
          <w:ilvl w:val="0"/>
          <w:numId w:val="1"/>
        </w:numPr>
        <w:spacing w:line="360" w:lineRule="auto"/>
        <w:jc w:val="both"/>
      </w:pPr>
      <w:r>
        <w:t>exkurzie : 25</w:t>
      </w:r>
    </w:p>
    <w:p w:rsidR="00983050" w:rsidRDefault="00983050" w:rsidP="00983050">
      <w:pPr>
        <w:numPr>
          <w:ilvl w:val="0"/>
          <w:numId w:val="1"/>
        </w:numPr>
        <w:spacing w:line="360" w:lineRule="auto"/>
        <w:jc w:val="both"/>
      </w:pPr>
      <w:r>
        <w:t>prezentácie kníh a besedy : 22</w:t>
      </w:r>
    </w:p>
    <w:p w:rsidR="00983050" w:rsidRDefault="00983050" w:rsidP="00983050">
      <w:pPr>
        <w:numPr>
          <w:ilvl w:val="0"/>
          <w:numId w:val="1"/>
        </w:numPr>
        <w:spacing w:line="360" w:lineRule="auto"/>
        <w:jc w:val="both"/>
      </w:pPr>
      <w:r>
        <w:rPr>
          <w:b/>
        </w:rPr>
        <w:t>spolu : 50 podujatí</w:t>
      </w:r>
    </w:p>
    <w:p w:rsidR="00983050" w:rsidRDefault="00983050" w:rsidP="00983050">
      <w:pPr>
        <w:spacing w:line="360" w:lineRule="auto"/>
        <w:ind w:left="360"/>
        <w:jc w:val="both"/>
      </w:pPr>
      <w:r>
        <w:t xml:space="preserve">     hostia:    Puntigán József,  Pavol Dvořák,</w:t>
      </w:r>
      <w:r w:rsidRPr="00FD7BC7">
        <w:t xml:space="preserve"> </w:t>
      </w:r>
      <w:r>
        <w:t xml:space="preserve">Farkas Ottó </w:t>
      </w:r>
    </w:p>
    <w:p w:rsidR="00983050" w:rsidRDefault="00983050" w:rsidP="00983050">
      <w:pPr>
        <w:spacing w:line="360" w:lineRule="auto"/>
        <w:ind w:left="360"/>
        <w:jc w:val="both"/>
      </w:pPr>
      <w:r>
        <w:t xml:space="preserve">                   Petra Nagyová-Džerengová,  Jozef Klinda </w:t>
      </w:r>
    </w:p>
    <w:p w:rsidR="00983050" w:rsidRDefault="00983050" w:rsidP="00983050">
      <w:pPr>
        <w:spacing w:line="360" w:lineRule="auto"/>
        <w:jc w:val="both"/>
      </w:pPr>
      <w:r>
        <w:t xml:space="preserve">                         Fóthy János, Liszka József, Lackfi János</w:t>
      </w:r>
    </w:p>
    <w:p w:rsidR="00983050" w:rsidRPr="00CA7E05" w:rsidRDefault="00983050" w:rsidP="00983050">
      <w:pPr>
        <w:spacing w:line="360" w:lineRule="auto"/>
        <w:jc w:val="both"/>
      </w:pPr>
      <w:r>
        <w:t xml:space="preserve">                         Peter Gajdošík, Marta Hlušíková,</w:t>
      </w:r>
    </w:p>
    <w:p w:rsidR="00983050" w:rsidRDefault="00983050" w:rsidP="00983050">
      <w:pPr>
        <w:spacing w:line="360" w:lineRule="auto"/>
        <w:jc w:val="both"/>
      </w:pPr>
      <w:r>
        <w:t xml:space="preserve">                         Koncz Géza a Takács Tamás, ,,Okrúhly stôl“</w:t>
      </w:r>
    </w:p>
    <w:p w:rsidR="00983050" w:rsidRDefault="00983050" w:rsidP="00983050">
      <w:pPr>
        <w:spacing w:line="360" w:lineRule="auto"/>
        <w:jc w:val="both"/>
      </w:pPr>
    </w:p>
    <w:p w:rsidR="00983050" w:rsidRPr="00CA7E05" w:rsidRDefault="00983050" w:rsidP="00983050">
      <w:pPr>
        <w:spacing w:line="360" w:lineRule="auto"/>
        <w:jc w:val="both"/>
        <w:outlineLvl w:val="0"/>
        <w:rPr>
          <w:b/>
        </w:rPr>
      </w:pPr>
      <w:r>
        <w:t xml:space="preserve"> </w:t>
      </w:r>
      <w:r w:rsidRPr="00FD7BC7">
        <w:rPr>
          <w:b/>
          <w:i/>
        </w:rPr>
        <w:t>V. Stav elektronizácie knižnice</w:t>
      </w:r>
    </w:p>
    <w:p w:rsidR="00983050" w:rsidRDefault="00983050" w:rsidP="00983050">
      <w:pPr>
        <w:spacing w:line="360" w:lineRule="auto"/>
        <w:jc w:val="both"/>
      </w:pPr>
      <w:r w:rsidRPr="00FD7BC7">
        <w:t>Mestská k</w:t>
      </w:r>
      <w:r>
        <w:t>nižnica evidovala k 31. 12. 2014 spolu 4 osobné PC, z ktorých sú 3</w:t>
      </w:r>
      <w:r w:rsidRPr="00FD7BC7">
        <w:t xml:space="preserve"> funkčné s pripojením na internet. V knižnici je pripojenie WiFi pre používateľov.</w:t>
      </w:r>
      <w:r w:rsidRPr="00FD7BC7">
        <w:rPr>
          <w:b/>
        </w:rPr>
        <w:t xml:space="preserve"> </w:t>
      </w:r>
      <w:r w:rsidRPr="00FD7BC7">
        <w:t xml:space="preserve">Knižnica spracováva elektronický katalóg, ktorý je dostupný na </w:t>
      </w:r>
      <w:hyperlink r:id="rId15" w:history="1">
        <w:r w:rsidRPr="00FD7BC7">
          <w:rPr>
            <w:rStyle w:val="Hypertextovprepojenie"/>
          </w:rPr>
          <w:t>www.hradfilakovo.sk</w:t>
        </w:r>
      </w:hyperlink>
      <w:r w:rsidRPr="00FD7BC7">
        <w:t>,</w:t>
      </w:r>
      <w:r w:rsidRPr="00FD7BC7">
        <w:rPr>
          <w:b/>
        </w:rPr>
        <w:t xml:space="preserve"> </w:t>
      </w:r>
      <w:r w:rsidRPr="00FD7BC7">
        <w:t>vstupom do programu KIS MaSK.</w:t>
      </w:r>
      <w:r w:rsidRPr="00FD7BC7">
        <w:rPr>
          <w:b/>
        </w:rPr>
        <w:t xml:space="preserve"> </w:t>
      </w:r>
      <w:r w:rsidRPr="00FD7BC7">
        <w:t xml:space="preserve">Pre účely verejného internetu slúži </w:t>
      </w:r>
      <w:r>
        <w:t>1 počítač v </w:t>
      </w:r>
      <w:r w:rsidRPr="002E19CF">
        <w:rPr>
          <w:b/>
        </w:rPr>
        <w:t>priestoroch</w:t>
      </w:r>
      <w:r>
        <w:t xml:space="preserve"> čitárne.</w:t>
      </w:r>
    </w:p>
    <w:p w:rsidR="00983050" w:rsidRDefault="00983050" w:rsidP="00983050">
      <w:pPr>
        <w:spacing w:line="360" w:lineRule="auto"/>
        <w:jc w:val="both"/>
      </w:pPr>
    </w:p>
    <w:p w:rsidR="00983050" w:rsidRDefault="00983050" w:rsidP="00983050">
      <w:pPr>
        <w:spacing w:line="360" w:lineRule="auto"/>
        <w:jc w:val="both"/>
        <w:outlineLvl w:val="0"/>
        <w:rPr>
          <w:b/>
          <w:i/>
        </w:rPr>
      </w:pPr>
      <w:r w:rsidRPr="00FD7BC7">
        <w:rPr>
          <w:b/>
          <w:i/>
        </w:rPr>
        <w:t>VI. Granty a</w:t>
      </w:r>
      <w:r>
        <w:rPr>
          <w:b/>
          <w:i/>
        </w:rPr>
        <w:t> </w:t>
      </w:r>
      <w:r w:rsidRPr="00FD7BC7">
        <w:rPr>
          <w:b/>
          <w:i/>
        </w:rPr>
        <w:t>dotácie</w:t>
      </w:r>
    </w:p>
    <w:p w:rsidR="00983050" w:rsidRDefault="00983050" w:rsidP="00983050">
      <w:pPr>
        <w:spacing w:line="360" w:lineRule="auto"/>
        <w:jc w:val="both"/>
        <w:outlineLvl w:val="0"/>
      </w:pPr>
      <w:r>
        <w:t>Na rok 2014 bolo vypracovaných 5 knižničných projektov</w:t>
      </w:r>
      <w:r w:rsidRPr="004E71D5">
        <w:t xml:space="preserve">, úspešné boli </w:t>
      </w:r>
      <w:r>
        <w:t>všetky (3 SR, 2MR)</w:t>
      </w:r>
    </w:p>
    <w:p w:rsidR="00983050" w:rsidRDefault="00983050" w:rsidP="00983050">
      <w:pPr>
        <w:spacing w:line="360" w:lineRule="auto"/>
        <w:jc w:val="both"/>
        <w:outlineLvl w:val="0"/>
      </w:pPr>
      <w:r>
        <w:t xml:space="preserve">Z grantových systémov sa získalo spolu </w:t>
      </w:r>
      <w:r>
        <w:rPr>
          <w:b/>
        </w:rPr>
        <w:t>11.262,88 €</w:t>
      </w:r>
      <w:r>
        <w:t>:</w:t>
      </w:r>
    </w:p>
    <w:p w:rsidR="00983050" w:rsidRPr="00FD6DF6" w:rsidRDefault="00983050" w:rsidP="00983050">
      <w:pPr>
        <w:spacing w:line="360" w:lineRule="auto"/>
        <w:jc w:val="both"/>
        <w:outlineLvl w:val="0"/>
        <w:rPr>
          <w:b/>
        </w:rPr>
      </w:pPr>
      <w:r w:rsidRPr="00FD6DF6">
        <w:rPr>
          <w:b/>
        </w:rPr>
        <w:t>Ministerstvo kultúry SR:</w:t>
      </w:r>
    </w:p>
    <w:p w:rsidR="00983050" w:rsidRDefault="00983050" w:rsidP="00983050">
      <w:pPr>
        <w:spacing w:line="360" w:lineRule="auto"/>
        <w:jc w:val="both"/>
        <w:outlineLvl w:val="0"/>
      </w:pPr>
      <w:r>
        <w:t>1. ,,Nákup serverového počítača na prevádzkovanie web-katalógu a stolného počítača pre výpožičný systém Mestskej knižnice vo Fiľakove“ – 2330 €.</w:t>
      </w:r>
    </w:p>
    <w:p w:rsidR="00983050" w:rsidRPr="00FD7BC7" w:rsidRDefault="00983050" w:rsidP="00983050">
      <w:pPr>
        <w:spacing w:line="360" w:lineRule="auto"/>
        <w:jc w:val="both"/>
        <w:outlineLvl w:val="0"/>
        <w:rPr>
          <w:b/>
          <w:i/>
        </w:rPr>
      </w:pPr>
      <w:r>
        <w:t>2.</w:t>
      </w:r>
      <w:r w:rsidRPr="00CF7513">
        <w:t xml:space="preserve"> </w:t>
      </w:r>
      <w:r>
        <w:t>,,Podpora čítania detí a mládeže v Mestskej knižnici vo Fiľakove“</w:t>
      </w:r>
    </w:p>
    <w:p w:rsidR="00983050" w:rsidRDefault="00983050" w:rsidP="00983050">
      <w:pPr>
        <w:spacing w:line="360" w:lineRule="auto"/>
        <w:jc w:val="both"/>
      </w:pPr>
      <w:r>
        <w:t xml:space="preserve">  –1710 €.</w:t>
      </w:r>
    </w:p>
    <w:p w:rsidR="00983050" w:rsidRDefault="00983050" w:rsidP="00983050">
      <w:pPr>
        <w:spacing w:line="360" w:lineRule="auto"/>
        <w:jc w:val="both"/>
      </w:pPr>
      <w:r>
        <w:t>3.</w:t>
      </w:r>
      <w:r w:rsidRPr="00CF7513">
        <w:t xml:space="preserve"> </w:t>
      </w:r>
      <w:r>
        <w:t>,,Obnova a doplnenie knižného fondu Mestskej knižnice vo Fiľakove“ -1500 €.</w:t>
      </w:r>
    </w:p>
    <w:p w:rsidR="00983050" w:rsidRDefault="00983050" w:rsidP="00983050">
      <w:pPr>
        <w:spacing w:line="360" w:lineRule="auto"/>
        <w:jc w:val="both"/>
        <w:rPr>
          <w:b/>
        </w:rPr>
      </w:pPr>
      <w:r w:rsidRPr="00FD6DF6">
        <w:rPr>
          <w:b/>
        </w:rPr>
        <w:t>Cezhraničné projekty:</w:t>
      </w:r>
    </w:p>
    <w:p w:rsidR="00983050" w:rsidRDefault="00FD6DF6" w:rsidP="00983050">
      <w:pPr>
        <w:spacing w:line="360" w:lineRule="auto"/>
        <w:jc w:val="both"/>
      </w:pPr>
      <w:r>
        <w:t>1</w:t>
      </w:r>
      <w:r w:rsidRPr="004E71D5">
        <w:t>. Doplnenie knižného fondu knižnými jednotka</w:t>
      </w:r>
      <w:r>
        <w:t>mi v maďarskom jazyku – Márai IV-program Ministerstva</w:t>
      </w:r>
      <w:r w:rsidRPr="004E71D5">
        <w:t xml:space="preserve"> kultúry Maďarskej republiky – schválená nefinančná dotácia (formou knižného daru) v hodnote: </w:t>
      </w:r>
      <w:r w:rsidR="00983050">
        <w:t>- 2.053,92 €.</w:t>
      </w:r>
    </w:p>
    <w:p w:rsidR="00FD6DF6" w:rsidRDefault="00983050" w:rsidP="00983050">
      <w:pPr>
        <w:spacing w:line="360" w:lineRule="auto"/>
        <w:jc w:val="both"/>
        <w:rPr>
          <w:lang w:val="hu-HU"/>
        </w:rPr>
      </w:pPr>
      <w:r>
        <w:lastRenderedPageBreak/>
        <w:t xml:space="preserve">2. </w:t>
      </w:r>
      <w:r w:rsidR="00FD6DF6" w:rsidRPr="004E71D5">
        <w:t>Doplnenie knižného fondu knižnými jednotka</w:t>
      </w:r>
      <w:r w:rsidR="00FD6DF6">
        <w:t xml:space="preserve">mi v maďarskom jazyku – </w:t>
      </w:r>
      <w:r w:rsidR="00FD6DF6">
        <w:rPr>
          <w:lang w:val="hu-HU"/>
        </w:rPr>
        <w:t>NKA könyvtámogatási program</w:t>
      </w:r>
      <w:r w:rsidR="00FD6DF6">
        <w:t xml:space="preserve"> - Ministerstva</w:t>
      </w:r>
      <w:r w:rsidR="00FD6DF6" w:rsidRPr="004E71D5">
        <w:t xml:space="preserve"> kultúry Maďarskej republiky – schválená nefinančná dotácia (formou knižného daru) v hodnote: </w:t>
      </w:r>
      <w:r>
        <w:rPr>
          <w:lang w:val="hu-HU"/>
        </w:rPr>
        <w:t>- 3.668,90 €</w:t>
      </w:r>
    </w:p>
    <w:p w:rsidR="00FD6DF6" w:rsidRDefault="00FD6DF6" w:rsidP="00983050">
      <w:pPr>
        <w:spacing w:line="360" w:lineRule="auto"/>
        <w:jc w:val="both"/>
        <w:rPr>
          <w:lang w:val="hu-HU"/>
        </w:rPr>
      </w:pPr>
    </w:p>
    <w:p w:rsidR="00983050" w:rsidRPr="00FD7BC7" w:rsidRDefault="00983050" w:rsidP="00983050">
      <w:pPr>
        <w:spacing w:line="360" w:lineRule="auto"/>
        <w:jc w:val="both"/>
        <w:outlineLvl w:val="0"/>
      </w:pPr>
      <w:r w:rsidRPr="00FD7BC7">
        <w:rPr>
          <w:b/>
          <w:i/>
        </w:rPr>
        <w:t xml:space="preserve">VII. Spolupráca                               </w:t>
      </w:r>
      <w:r w:rsidRPr="00FD7BC7">
        <w:t xml:space="preserve">        </w:t>
      </w:r>
    </w:p>
    <w:p w:rsidR="00983050" w:rsidRDefault="00983050" w:rsidP="00983050">
      <w:pPr>
        <w:spacing w:line="360" w:lineRule="auto"/>
        <w:jc w:val="both"/>
      </w:pPr>
      <w:r w:rsidRPr="00FD7BC7">
        <w:t>Knižnica úzko spolupracovala so</w:t>
      </w:r>
      <w:r>
        <w:t xml:space="preserve"> školskými zariadeniami v meste a</w:t>
      </w:r>
      <w:r w:rsidRPr="00FD7BC7">
        <w:t xml:space="preserve"> s občianskymi </w:t>
      </w:r>
      <w:r>
        <w:t>združeniami mesta Fiľakovo.</w:t>
      </w:r>
    </w:p>
    <w:p w:rsidR="00FD6DF6" w:rsidRPr="00FD7BC7" w:rsidRDefault="00FD6DF6" w:rsidP="00983050">
      <w:pPr>
        <w:spacing w:line="360" w:lineRule="auto"/>
        <w:jc w:val="both"/>
      </w:pPr>
    </w:p>
    <w:p w:rsidR="00FF5868" w:rsidRPr="004E71D5" w:rsidRDefault="00FF5868" w:rsidP="00FF5868">
      <w:pPr>
        <w:spacing w:line="360" w:lineRule="auto"/>
        <w:jc w:val="both"/>
        <w:rPr>
          <w:b/>
        </w:rPr>
      </w:pPr>
    </w:p>
    <w:p w:rsidR="00FF5868" w:rsidRPr="004E71D5" w:rsidRDefault="00FF5868" w:rsidP="00FF5868">
      <w:pPr>
        <w:spacing w:line="360" w:lineRule="auto"/>
        <w:jc w:val="both"/>
        <w:rPr>
          <w:b/>
          <w:bCs/>
        </w:rPr>
      </w:pPr>
      <w:r w:rsidRPr="004E71D5">
        <w:rPr>
          <w:b/>
        </w:rPr>
        <w:t xml:space="preserve">D, Poskytovanie turisticko-informačných služieb </w:t>
      </w:r>
      <w:r w:rsidRPr="004E71D5">
        <w:rPr>
          <w:b/>
          <w:bCs/>
        </w:rPr>
        <w:t>– Novohradské turisticko-informačné centrum</w:t>
      </w:r>
    </w:p>
    <w:p w:rsidR="00FF5868" w:rsidRPr="00FD6DF6" w:rsidRDefault="00FF5868" w:rsidP="00FF5868">
      <w:pPr>
        <w:spacing w:line="360" w:lineRule="auto"/>
        <w:jc w:val="both"/>
      </w:pPr>
      <w:r w:rsidRPr="004E71D5">
        <w:rPr>
          <w:b/>
          <w:bCs/>
        </w:rPr>
        <w:tab/>
      </w:r>
      <w:r w:rsidRPr="004E71D5">
        <w:t>Informácie sú turistom a iným návštevníkom mesta poskytované osobne v kancelárii, telefonicky, cez internet a prostredníctvom médií. NTIC poskytuje informácie o cestovnom ruchu v regióne (zariadenia, podujatia, návštevnosť v meste a na území Novohrad-Nógrád Geoparku) študentom vysokých škôl – konzultácie k seminárnym, bakalárskym a diplomovým prácam</w:t>
      </w:r>
      <w:r w:rsidR="00FD6DF6">
        <w:t>cca (cca. 5 študentom)</w:t>
      </w:r>
      <w:r w:rsidRPr="004E71D5">
        <w:t xml:space="preserve">. NTIC pokračovalo v budovaní a rozširovaní siete regionálnej spolupráce HMF s ubytovacími zariadeniami, kúpeľami a cestovnými kanceláriami (29 firiem na území ohraničenom lokalitami Ďudince – Číž – Sliač – Salgótarján a 6 CK z MR). </w:t>
      </w:r>
      <w:r w:rsidR="00FD6DF6">
        <w:t xml:space="preserve">Podpísala sa aj zmluva o spolupráci s termálnym kúpaliskom Novolandia v Rapovciach. </w:t>
      </w:r>
      <w:r w:rsidRPr="004E71D5">
        <w:t xml:space="preserve">Priebežne prebieha umiestňovanie propagačných materiálov HMF a plagátov miestnych podujatí v objektoch partnerov. </w:t>
      </w:r>
    </w:p>
    <w:p w:rsidR="00FF5868" w:rsidRPr="004E71D5" w:rsidRDefault="00FF5868" w:rsidP="00FF5868">
      <w:pPr>
        <w:spacing w:line="360" w:lineRule="auto"/>
        <w:rPr>
          <w:b/>
        </w:rPr>
      </w:pPr>
    </w:p>
    <w:p w:rsidR="00FF5868" w:rsidRPr="004E71D5" w:rsidRDefault="00FF5868" w:rsidP="00FF5868">
      <w:pPr>
        <w:spacing w:line="360" w:lineRule="auto"/>
        <w:jc w:val="both"/>
        <w:rPr>
          <w:b/>
        </w:rPr>
      </w:pPr>
      <w:r w:rsidRPr="004E71D5">
        <w:rPr>
          <w:b/>
        </w:rPr>
        <w:t>I. Marketing a propagácia:</w:t>
      </w:r>
    </w:p>
    <w:p w:rsidR="00FF5868" w:rsidRPr="004E71D5" w:rsidRDefault="00FF5868" w:rsidP="00FF5868">
      <w:pPr>
        <w:spacing w:line="360" w:lineRule="auto"/>
        <w:jc w:val="both"/>
      </w:pPr>
      <w:r w:rsidRPr="004E71D5">
        <w:tab/>
        <w:t>NTIC pripravilo 27 propagačných článkov do tlačených publikácií: spoločný kalendár podujatí OOCR Turistický Novohrad a Podpoľanie, text</w:t>
      </w:r>
      <w:r w:rsidR="00C52294">
        <w:t>y</w:t>
      </w:r>
      <w:r w:rsidRPr="004E71D5">
        <w:t xml:space="preserve"> o Fiľakove </w:t>
      </w:r>
      <w:r w:rsidR="00C52294">
        <w:t>pre SACR</w:t>
      </w:r>
      <w:r w:rsidRPr="004E71D5">
        <w:t xml:space="preserve">, </w:t>
      </w:r>
      <w:r w:rsidR="00C52294">
        <w:t>aktualizáciu údajov</w:t>
      </w:r>
      <w:r w:rsidRPr="004E71D5">
        <w:t xml:space="preserve"> o NTIC v rámci AICES do Cestovného lexikónu, zoznam podujatí a výročí do Kalendára výročí a Katalógu podujatí 2014 Novohrads</w:t>
      </w:r>
      <w:r w:rsidR="00C52294">
        <w:t>kého osvetového strediska (LC)</w:t>
      </w:r>
      <w:r w:rsidRPr="004E71D5">
        <w:t>, príprava čl</w:t>
      </w:r>
      <w:r w:rsidR="00C52294">
        <w:t>ánkov do Fiľakovských zvestí: 16 za rok 2014</w:t>
      </w:r>
      <w:r w:rsidRPr="004E71D5">
        <w:t>.</w:t>
      </w:r>
    </w:p>
    <w:p w:rsidR="00FF5868" w:rsidRPr="004E71D5" w:rsidRDefault="00FF5868" w:rsidP="00FF5868">
      <w:pPr>
        <w:spacing w:line="360" w:lineRule="auto"/>
        <w:ind w:left="36"/>
        <w:jc w:val="both"/>
        <w:rPr>
          <w:b/>
        </w:rPr>
      </w:pPr>
      <w:r w:rsidRPr="004E71D5">
        <w:tab/>
        <w:t>Pracovníci kancelárie pripravili niekoľko propagačných článkov na elektronické zverejnenie:</w:t>
      </w:r>
      <w:r w:rsidRPr="004E71D5">
        <w:rPr>
          <w:b/>
        </w:rPr>
        <w:t xml:space="preserve"> </w:t>
      </w:r>
      <w:r w:rsidRPr="004E71D5">
        <w:t>texty a foto na web OOCR Turistický Novohrad a Podpoľanie</w:t>
      </w:r>
      <w:r w:rsidRPr="004E71D5">
        <w:rPr>
          <w:b/>
        </w:rPr>
        <w:t xml:space="preserve">, </w:t>
      </w:r>
      <w:r w:rsidR="00C52294">
        <w:t>Kalendár podujatí 2014</w:t>
      </w:r>
      <w:r w:rsidRPr="004E71D5">
        <w:t xml:space="preserve"> pre SACR</w:t>
      </w:r>
      <w:r w:rsidR="00C52294">
        <w:rPr>
          <w:b/>
        </w:rPr>
        <w:t>.</w:t>
      </w:r>
    </w:p>
    <w:p w:rsidR="00FF5868" w:rsidRDefault="00FF5868" w:rsidP="00FF5868">
      <w:pPr>
        <w:spacing w:line="360" w:lineRule="auto"/>
        <w:jc w:val="both"/>
      </w:pPr>
      <w:r w:rsidRPr="004E71D5">
        <w:tab/>
        <w:t xml:space="preserve">K činnosti NTIC patrí aj mesačné zverejňovanie podujatí na portáloch cestovného ruchu a kultúrneho života, ako </w:t>
      </w:r>
      <w:hyperlink r:id="rId16" w:history="1">
        <w:r w:rsidRPr="004E71D5">
          <w:rPr>
            <w:rStyle w:val="Hypertextovprepojenie"/>
          </w:rPr>
          <w:t>www.ziveslovensko.sk</w:t>
        </w:r>
      </w:hyperlink>
      <w:r w:rsidRPr="004E71D5">
        <w:t xml:space="preserve">, </w:t>
      </w:r>
      <w:hyperlink r:id="rId17" w:history="1">
        <w:r w:rsidRPr="004E71D5">
          <w:rPr>
            <w:rStyle w:val="Hypertextovprepojenie"/>
          </w:rPr>
          <w:t>www.nocka.sk</w:t>
        </w:r>
      </w:hyperlink>
      <w:r w:rsidRPr="004E71D5">
        <w:t xml:space="preserve">, </w:t>
      </w:r>
      <w:hyperlink r:id="rId18" w:history="1">
        <w:r w:rsidRPr="004E71D5">
          <w:rPr>
            <w:rStyle w:val="Hypertextovprepojenie"/>
          </w:rPr>
          <w:t>www.kultiplex.sk</w:t>
        </w:r>
      </w:hyperlink>
      <w:r w:rsidRPr="004E71D5">
        <w:t xml:space="preserve">, </w:t>
      </w:r>
      <w:hyperlink r:id="rId19" w:history="1">
        <w:r w:rsidRPr="004E71D5">
          <w:rPr>
            <w:rStyle w:val="Hypertextovprepojenie"/>
          </w:rPr>
          <w:t>www.slovakia.travel</w:t>
        </w:r>
      </w:hyperlink>
      <w:r w:rsidRPr="004E71D5">
        <w:t xml:space="preserve">. Počas roka sa </w:t>
      </w:r>
      <w:r w:rsidR="00C52294">
        <w:t>doručili</w:t>
      </w:r>
      <w:r w:rsidRPr="004E71D5">
        <w:t xml:space="preserve"> propagačné materiály do partnerských hotelov </w:t>
      </w:r>
      <w:r w:rsidR="00C52294">
        <w:t>a kúpeľov HMF</w:t>
      </w:r>
      <w:r w:rsidRPr="004E71D5">
        <w:t>, pre maďar</w:t>
      </w:r>
      <w:r w:rsidR="00C52294">
        <w:t>ské cestovné kancelárie.</w:t>
      </w:r>
    </w:p>
    <w:p w:rsidR="00C52294" w:rsidRPr="004E71D5" w:rsidRDefault="00C52294" w:rsidP="00FF5868">
      <w:pPr>
        <w:spacing w:line="360" w:lineRule="auto"/>
        <w:jc w:val="both"/>
      </w:pPr>
    </w:p>
    <w:p w:rsidR="00FF5868" w:rsidRPr="004E71D5" w:rsidRDefault="00351CEF" w:rsidP="00FF5868">
      <w:pPr>
        <w:spacing w:line="360" w:lineRule="auto"/>
        <w:jc w:val="both"/>
        <w:rPr>
          <w:b/>
        </w:rPr>
      </w:pPr>
      <w:r>
        <w:rPr>
          <w:b/>
          <w:highlight w:val="yellow"/>
        </w:rPr>
        <w:t>*</w:t>
      </w:r>
      <w:r w:rsidR="00FF5868" w:rsidRPr="00351CEF">
        <w:rPr>
          <w:b/>
          <w:highlight w:val="yellow"/>
        </w:rPr>
        <w:t>II. Účasť na výstavách a veľtrhoch CR a na odborných podujatiach:</w:t>
      </w:r>
    </w:p>
    <w:p w:rsidR="00FF5868" w:rsidRPr="004E71D5" w:rsidRDefault="00FF5868" w:rsidP="00FF5868">
      <w:pPr>
        <w:numPr>
          <w:ilvl w:val="0"/>
          <w:numId w:val="3"/>
        </w:numPr>
        <w:spacing w:line="360" w:lineRule="auto"/>
        <w:jc w:val="both"/>
      </w:pPr>
      <w:r w:rsidRPr="004E71D5">
        <w:t>1/201</w:t>
      </w:r>
      <w:r w:rsidR="00C52294">
        <w:t>4</w:t>
      </w:r>
      <w:r w:rsidRPr="004E71D5">
        <w:t xml:space="preserve"> – účasť na veľtrhu CR IF</w:t>
      </w:r>
      <w:r w:rsidR="00C52294">
        <w:t>T Slovakiatour – Bratislava 2014</w:t>
      </w:r>
      <w:r w:rsidRPr="004E71D5">
        <w:t xml:space="preserve"> </w:t>
      </w:r>
    </w:p>
    <w:p w:rsidR="00FF5868" w:rsidRPr="004E71D5" w:rsidRDefault="00C52294" w:rsidP="00FF5868">
      <w:pPr>
        <w:numPr>
          <w:ilvl w:val="0"/>
          <w:numId w:val="3"/>
        </w:numPr>
        <w:spacing w:line="360" w:lineRule="auto"/>
        <w:jc w:val="both"/>
      </w:pPr>
      <w:r>
        <w:t xml:space="preserve"> 2-3/2014</w:t>
      </w:r>
      <w:r w:rsidR="00FF5868" w:rsidRPr="004E71D5">
        <w:t xml:space="preserve"> </w:t>
      </w:r>
      <w:r>
        <w:t>– účasť na veľthu CR Utazás 2014</w:t>
      </w:r>
      <w:r w:rsidR="00FF5868" w:rsidRPr="004E71D5">
        <w:t xml:space="preserve"> (2 dni)</w:t>
      </w:r>
    </w:p>
    <w:p w:rsidR="00FF5868" w:rsidRPr="004E71D5" w:rsidRDefault="00FF5868" w:rsidP="00FF5868">
      <w:pPr>
        <w:spacing w:line="360" w:lineRule="auto"/>
        <w:jc w:val="both"/>
      </w:pPr>
    </w:p>
    <w:p w:rsidR="00FF5868" w:rsidRPr="004E71D5" w:rsidRDefault="00C52294" w:rsidP="00FF5868">
      <w:pPr>
        <w:spacing w:line="360" w:lineRule="auto"/>
        <w:jc w:val="both"/>
        <w:rPr>
          <w:b/>
        </w:rPr>
      </w:pPr>
      <w:r>
        <w:rPr>
          <w:b/>
          <w:highlight w:val="yellow"/>
        </w:rPr>
        <w:t>*</w:t>
      </w:r>
      <w:r w:rsidR="00FF5868" w:rsidRPr="00C52294">
        <w:rPr>
          <w:b/>
          <w:highlight w:val="yellow"/>
        </w:rPr>
        <w:t>III. Spoluorganizovanie podujatí a iná spolupráca:</w:t>
      </w:r>
    </w:p>
    <w:p w:rsidR="00FF5868" w:rsidRPr="004E71D5" w:rsidRDefault="00FF5868" w:rsidP="00FF5868">
      <w:pPr>
        <w:spacing w:line="360" w:lineRule="auto"/>
        <w:jc w:val="both"/>
        <w:rPr>
          <w:b/>
          <w:color w:val="FF0000"/>
        </w:rPr>
      </w:pPr>
    </w:p>
    <w:p w:rsidR="00531894" w:rsidRPr="000439C9" w:rsidRDefault="00531894" w:rsidP="00531894">
      <w:pPr>
        <w:spacing w:line="360" w:lineRule="auto"/>
        <w:rPr>
          <w:b/>
        </w:rPr>
      </w:pPr>
      <w:r w:rsidRPr="000439C9">
        <w:rPr>
          <w:b/>
        </w:rPr>
        <w:t>Maloobchodná činnosť a zdaňovaná činnosť:</w:t>
      </w:r>
    </w:p>
    <w:p w:rsidR="00531894" w:rsidRDefault="00531894" w:rsidP="00531894">
      <w:pPr>
        <w:spacing w:line="360" w:lineRule="auto"/>
        <w:ind w:firstLine="708"/>
        <w:jc w:val="both"/>
      </w:pPr>
      <w:r>
        <w:t xml:space="preserve">Na základe Živnostenského listu č. OŽP-C/2008/00116-2/CR1 vykonáva naša organizácia maloobchodnú činnosť. V rámci tejto činnosti sa v miestnosti lektorov v prístavbe Maďarského spoločenského domu predávajú rôzne suveníry, ako brožúry, pohľadnice, magnet na chladničku, DVD, CD, knižné publikácie a keramika. </w:t>
      </w:r>
    </w:p>
    <w:p w:rsidR="00531894" w:rsidRDefault="00531894" w:rsidP="00531894">
      <w:pPr>
        <w:spacing w:line="360" w:lineRule="auto"/>
        <w:ind w:firstLine="708"/>
        <w:jc w:val="both"/>
      </w:pPr>
      <w:r>
        <w:t xml:space="preserve">Od 01.01.2012 v súvislosti s reorganizáciou bolo k Hradnému múzeu pričlenené Novohradské turisticko-informačné centrum (ďalej NTIC), v ktorom  sa vykonáva tiež maloobchodná činnosť – predaj suvenírov, máp, brožúr, ďalej sa poskytujú kopírovacie, faxovacie a tlačové služby a ubytovanie. Súčasťou Hradného múzea sa v rámci reorganizácie stala aj Mestská knižnica. V budove Vigado, v ktorej sa prevádzkuje knižnica, sa prenajímajú miestnosti pre miestnu organizáciu „Klub dôchodcov“ a  šatňa za javiskom pre účely nácviku fiľakovskej hudobnej skupiny Guru Brothers. </w:t>
      </w:r>
    </w:p>
    <w:p w:rsidR="00531894" w:rsidRPr="00781256" w:rsidRDefault="00531894" w:rsidP="00531894">
      <w:pPr>
        <w:spacing w:line="360" w:lineRule="auto"/>
        <w:ind w:firstLine="708"/>
        <w:jc w:val="both"/>
      </w:pPr>
      <w:r>
        <w:t xml:space="preserve">Tovar sa obstarával dvoma spôsobmi, a to väčší sortiment tovaru sa obstarával hlavne formou  komisionárskych zmlúv (ak sa dalo dohodnúť s dodávateľom) a menší na faktúru. S cieľom spestrenia ponuky tovaru sa ďalej rozširoval okruh dodávateľov aj tovaru (napr. brožúry propagujúce Fiľakovský hrad, rôzne mapy, šperky, drevené meče, viac druhov magnetiek). V roku 2014 sa z predaja tovaru </w:t>
      </w:r>
      <w:r w:rsidRPr="00781256">
        <w:t xml:space="preserve">dosiahli tržby vo výške </w:t>
      </w:r>
      <w:r>
        <w:t>5</w:t>
      </w:r>
      <w:r w:rsidRPr="00781256">
        <w:t>.</w:t>
      </w:r>
      <w:r>
        <w:t>407,06</w:t>
      </w:r>
      <w:r w:rsidRPr="00781256">
        <w:t xml:space="preserve"> Eur (z toho na hrade 4.</w:t>
      </w:r>
      <w:r>
        <w:t>464,49</w:t>
      </w:r>
      <w:r w:rsidRPr="00781256">
        <w:t xml:space="preserve"> Eur a v NTIC </w:t>
      </w:r>
      <w:r>
        <w:t>942,57</w:t>
      </w:r>
      <w:r w:rsidRPr="00781256">
        <w:t xml:space="preserve"> Eur). Oproti r. 201</w:t>
      </w:r>
      <w:r>
        <w:t>3</w:t>
      </w:r>
      <w:r w:rsidRPr="00781256">
        <w:t xml:space="preserve"> sa zaznamenal mierny nárast  o</w:t>
      </w:r>
      <w:r>
        <w:t> </w:t>
      </w:r>
      <w:r w:rsidRPr="00781256">
        <w:t>7</w:t>
      </w:r>
      <w:r>
        <w:t>21,24</w:t>
      </w:r>
      <w:r w:rsidRPr="00781256">
        <w:t xml:space="preserve"> Eur (v r. 201</w:t>
      </w:r>
      <w:r>
        <w:t>3</w:t>
      </w:r>
      <w:r w:rsidRPr="00781256">
        <w:t xml:space="preserve"> boli tržby vo výške </w:t>
      </w:r>
      <w:r>
        <w:t>4</w:t>
      </w:r>
      <w:r w:rsidRPr="00781256">
        <w:t>.</w:t>
      </w:r>
      <w:r>
        <w:t>685,82</w:t>
      </w:r>
      <w:r w:rsidRPr="00781256">
        <w:t xml:space="preserve"> Eur). </w:t>
      </w:r>
    </w:p>
    <w:p w:rsidR="00531894" w:rsidRPr="00781256" w:rsidRDefault="00531894" w:rsidP="00531894">
      <w:pPr>
        <w:spacing w:line="360" w:lineRule="auto"/>
        <w:ind w:firstLine="708"/>
        <w:jc w:val="both"/>
      </w:pPr>
      <w:r w:rsidRPr="00781256">
        <w:t>Okrem tržieb z predaja tovaru zdaneniu podliehajú aj príjmy z prenájmu (jedná sa o prenájom hradného dvora na koncerty a rôzne iné komerčné podujatia, na komerčné fotografovanie, prenájom plochy na predajné stánky, prenájom kancelárie a nebytových priestorov v NTIC a vo Vigade</w:t>
      </w:r>
      <w:r>
        <w:t>)</w:t>
      </w:r>
      <w:r w:rsidRPr="00781256">
        <w:t>. V r. 201</w:t>
      </w:r>
      <w:r>
        <w:t>4</w:t>
      </w:r>
      <w:r w:rsidRPr="00781256">
        <w:t xml:space="preserve"> boli príjmy z prenájmu v celkovej výške: 1.</w:t>
      </w:r>
      <w:r>
        <w:t>556,00 Eur</w:t>
      </w:r>
      <w:r w:rsidRPr="00781256">
        <w:t xml:space="preserve">, z toho HMF – </w:t>
      </w:r>
      <w:r>
        <w:t>796,-</w:t>
      </w:r>
      <w:r w:rsidRPr="00781256">
        <w:t xml:space="preserve"> Eur, NTIC – 2</w:t>
      </w:r>
      <w:r>
        <w:t>20</w:t>
      </w:r>
      <w:r w:rsidRPr="00781256">
        <w:t>,</w:t>
      </w:r>
      <w:r>
        <w:t>-</w:t>
      </w:r>
      <w:r w:rsidRPr="00781256">
        <w:t xml:space="preserve"> Eur, Vigado – </w:t>
      </w:r>
      <w:r>
        <w:t>540</w:t>
      </w:r>
      <w:r w:rsidRPr="00781256">
        <w:t>,- Eur. Tu treba poznamenať, že príjmy z prenájmu NTIC a Vigado v 201</w:t>
      </w:r>
      <w:r>
        <w:t>4</w:t>
      </w:r>
      <w:r w:rsidRPr="00781256">
        <w:t xml:space="preserve"> boli súčasťou rozpočtovaných príjmov.  </w:t>
      </w:r>
    </w:p>
    <w:p w:rsidR="00531894" w:rsidRPr="00781256" w:rsidRDefault="00531894" w:rsidP="00531894">
      <w:pPr>
        <w:spacing w:line="360" w:lineRule="auto"/>
        <w:ind w:firstLine="708"/>
        <w:jc w:val="both"/>
      </w:pPr>
      <w:r w:rsidRPr="00781256">
        <w:lastRenderedPageBreak/>
        <w:t>Zdaneniu ďalej podliehajú aj príjmy z ubytovania: 12 lôžok v podkrovných priestoroch NTIC – v roku 201</w:t>
      </w:r>
      <w:r>
        <w:t>4</w:t>
      </w:r>
      <w:r w:rsidRPr="00781256">
        <w:t xml:space="preserve"> bolo ubytovaných </w:t>
      </w:r>
      <w:r>
        <w:t>219</w:t>
      </w:r>
      <w:r w:rsidRPr="00781256">
        <w:t xml:space="preserve"> osôb, počet prenocovaní </w:t>
      </w:r>
      <w:r>
        <w:t>474</w:t>
      </w:r>
      <w:r w:rsidRPr="00781256">
        <w:t xml:space="preserve"> nocí, príjmy boli sume 1.</w:t>
      </w:r>
      <w:r>
        <w:t>731</w:t>
      </w:r>
      <w:r w:rsidRPr="00781256">
        <w:t xml:space="preserve">,- Eur a príjmy za poskytované služby (kopírovanie, faxovanie a tlač) v sume </w:t>
      </w:r>
      <w:r>
        <w:t>58,75</w:t>
      </w:r>
      <w:r w:rsidRPr="00781256">
        <w:t xml:space="preserve"> Eur</w:t>
      </w:r>
      <w:r>
        <w:t>.</w:t>
      </w:r>
      <w:r w:rsidRPr="00781256">
        <w:rPr>
          <w:i/>
        </w:rPr>
        <w:t xml:space="preserve"> </w:t>
      </w:r>
      <w:r w:rsidRPr="00781256">
        <w:t>Oproti r. 201</w:t>
      </w:r>
      <w:r>
        <w:t>3</w:t>
      </w:r>
      <w:r w:rsidRPr="00781256">
        <w:t xml:space="preserve"> príjmy z ubytovania </w:t>
      </w:r>
      <w:r>
        <w:t xml:space="preserve">klesli o 146,- Eur, t.j. o 7,78 %, bolo to zapríčinené tým, že z počtu 474 prenocovaní bolo 303 prenocovaní neplatiacich. </w:t>
      </w:r>
    </w:p>
    <w:p w:rsidR="00531894" w:rsidRPr="00781256" w:rsidRDefault="00531894" w:rsidP="00531894">
      <w:pPr>
        <w:spacing w:line="360" w:lineRule="auto"/>
        <w:jc w:val="both"/>
      </w:pPr>
      <w:r w:rsidRPr="00781256">
        <w:t xml:space="preserve">Zdaňované príjmy činia spolu : </w:t>
      </w:r>
      <w:r w:rsidRPr="006D7DBD">
        <w:rPr>
          <w:b/>
        </w:rPr>
        <w:t>8.813,68 Eur</w:t>
      </w:r>
      <w:r w:rsidRPr="00781256">
        <w:t xml:space="preserve"> (vrátane prijatých úrokov – 0,</w:t>
      </w:r>
      <w:r>
        <w:t>87</w:t>
      </w:r>
      <w:r w:rsidRPr="00781256">
        <w:t xml:space="preserve"> Eur).</w:t>
      </w:r>
    </w:p>
    <w:p w:rsidR="00531894" w:rsidRPr="00781256" w:rsidRDefault="00531894" w:rsidP="00531894">
      <w:pPr>
        <w:spacing w:line="360" w:lineRule="auto"/>
        <w:jc w:val="both"/>
      </w:pPr>
    </w:p>
    <w:p w:rsidR="00531894" w:rsidRPr="00781256" w:rsidRDefault="00531894" w:rsidP="00531894">
      <w:pPr>
        <w:spacing w:line="360" w:lineRule="auto"/>
        <w:jc w:val="both"/>
      </w:pPr>
      <w:r w:rsidRPr="00781256">
        <w:t xml:space="preserve">Výdavky boli vo výške : </w:t>
      </w:r>
      <w:r w:rsidRPr="006D7DBD">
        <w:rPr>
          <w:b/>
        </w:rPr>
        <w:t>7.092,43 Eur</w:t>
      </w:r>
      <w:r w:rsidRPr="00781256">
        <w:t xml:space="preserve"> a  v nasledovnej štruktúre:</w:t>
      </w:r>
    </w:p>
    <w:p w:rsidR="00531894" w:rsidRPr="00781256" w:rsidRDefault="00531894" w:rsidP="00531894">
      <w:pPr>
        <w:spacing w:line="360" w:lineRule="auto"/>
        <w:jc w:val="both"/>
      </w:pPr>
      <w:r w:rsidRPr="00781256">
        <w:t xml:space="preserve">a) spotreba materiálu </w:t>
      </w:r>
      <w:r w:rsidRPr="00781256">
        <w:tab/>
      </w:r>
      <w:r w:rsidRPr="00781256">
        <w:tab/>
        <w:t xml:space="preserve">      </w:t>
      </w:r>
      <w:r w:rsidRPr="00781256">
        <w:tab/>
        <w:t xml:space="preserve">      </w:t>
      </w:r>
      <w:r>
        <w:t xml:space="preserve">568,24 </w:t>
      </w:r>
      <w:r w:rsidRPr="00781256">
        <w:t>Eur</w:t>
      </w:r>
    </w:p>
    <w:p w:rsidR="00531894" w:rsidRPr="00781256" w:rsidRDefault="00531894" w:rsidP="00531894">
      <w:pPr>
        <w:spacing w:line="360" w:lineRule="auto"/>
        <w:jc w:val="both"/>
      </w:pPr>
      <w:r w:rsidRPr="00781256">
        <w:t xml:space="preserve">b) spotreba energie (alikv.časť)               </w:t>
      </w:r>
      <w:r>
        <w:t>197</w:t>
      </w:r>
      <w:r w:rsidRPr="00781256">
        <w:t>,</w:t>
      </w:r>
      <w:r>
        <w:t>68</w:t>
      </w:r>
      <w:r w:rsidRPr="00781256">
        <w:t xml:space="preserve"> Eur</w:t>
      </w:r>
    </w:p>
    <w:p w:rsidR="00531894" w:rsidRPr="00781256" w:rsidRDefault="00531894" w:rsidP="00531894">
      <w:pPr>
        <w:spacing w:line="360" w:lineRule="auto"/>
        <w:jc w:val="both"/>
      </w:pPr>
      <w:r w:rsidRPr="00781256">
        <w:t>c) spotreba nakúpeného tovaru             3.</w:t>
      </w:r>
      <w:r>
        <w:t>667,53</w:t>
      </w:r>
      <w:r w:rsidRPr="00781256">
        <w:t xml:space="preserve"> Eur</w:t>
      </w:r>
    </w:p>
    <w:p w:rsidR="00531894" w:rsidRPr="00781256" w:rsidRDefault="00531894" w:rsidP="00531894">
      <w:pPr>
        <w:spacing w:line="360" w:lineRule="auto"/>
        <w:jc w:val="both"/>
      </w:pPr>
      <w:r w:rsidRPr="00781256">
        <w:t>d) opravy a udržiavanie                            1</w:t>
      </w:r>
      <w:r>
        <w:t>02,0</w:t>
      </w:r>
      <w:r w:rsidRPr="00781256">
        <w:t>0 Eur</w:t>
      </w:r>
    </w:p>
    <w:p w:rsidR="00531894" w:rsidRPr="00781256" w:rsidRDefault="00531894" w:rsidP="00531894">
      <w:pPr>
        <w:spacing w:line="360" w:lineRule="auto"/>
        <w:jc w:val="both"/>
      </w:pPr>
      <w:r w:rsidRPr="00781256">
        <w:t xml:space="preserve">e) ostatné služby                                      </w:t>
      </w:r>
      <w:r>
        <w:t xml:space="preserve">    0,00</w:t>
      </w:r>
      <w:r w:rsidRPr="00781256">
        <w:t xml:space="preserve"> Eur</w:t>
      </w:r>
    </w:p>
    <w:p w:rsidR="00531894" w:rsidRPr="00781256" w:rsidRDefault="00531894" w:rsidP="00531894">
      <w:pPr>
        <w:spacing w:line="360" w:lineRule="auto"/>
        <w:jc w:val="both"/>
      </w:pPr>
      <w:r w:rsidRPr="00781256">
        <w:t>f) mzdy (alikvót.časť)                           1.</w:t>
      </w:r>
      <w:r>
        <w:t>738,93</w:t>
      </w:r>
      <w:r w:rsidRPr="00781256">
        <w:t xml:space="preserve"> Eur</w:t>
      </w:r>
    </w:p>
    <w:p w:rsidR="00531894" w:rsidRPr="00781256" w:rsidRDefault="00531894" w:rsidP="00531894">
      <w:pPr>
        <w:spacing w:line="360" w:lineRule="auto"/>
        <w:jc w:val="both"/>
      </w:pPr>
      <w:r w:rsidRPr="00781256">
        <w:t xml:space="preserve">g) zákonné soc.poist. (aliktvót.č.)            </w:t>
      </w:r>
      <w:r>
        <w:t>600,16</w:t>
      </w:r>
      <w:r w:rsidRPr="00781256">
        <w:t xml:space="preserve"> Eur</w:t>
      </w:r>
    </w:p>
    <w:p w:rsidR="00531894" w:rsidRDefault="00531894" w:rsidP="00531894">
      <w:pPr>
        <w:spacing w:line="360" w:lineRule="auto"/>
        <w:jc w:val="both"/>
      </w:pPr>
      <w:r>
        <w:t>h) odpisy (registrač.pokladnice)               167,18 Eur</w:t>
      </w:r>
    </w:p>
    <w:p w:rsidR="00531894" w:rsidRDefault="00531894" w:rsidP="00531894">
      <w:pPr>
        <w:spacing w:line="360" w:lineRule="auto"/>
        <w:jc w:val="both"/>
      </w:pPr>
      <w:r>
        <w:t>ch) kurzové straty                                         0,82 Eur</w:t>
      </w:r>
    </w:p>
    <w:p w:rsidR="00531894" w:rsidRDefault="00531894" w:rsidP="00531894">
      <w:pPr>
        <w:spacing w:line="360" w:lineRule="auto"/>
        <w:jc w:val="both"/>
      </w:pPr>
      <w:r>
        <w:t>i) poplatky (bankové)                                 49,89 Eur.</w:t>
      </w:r>
    </w:p>
    <w:p w:rsidR="00531894" w:rsidRDefault="00531894" w:rsidP="00531894">
      <w:pPr>
        <w:spacing w:line="360" w:lineRule="auto"/>
        <w:jc w:val="both"/>
      </w:pPr>
      <w:r>
        <w:t>Ako zo štruktúry výdavkov vidieť najväčšiu čiastku tvorí spotreba nakúpeného tovaru. Ďalšiu veľmi významnú položku predstavujú mzdy lektorov a pracovníkov NTIC a zákonné sociálne poistenie (ide o rozpočítanú alikvótnu čiastku, nakoľko lektori na hrade  a pracovníci NTIC sú zároveň aj predavačmi v maloobchodnej predajni).</w:t>
      </w:r>
    </w:p>
    <w:p w:rsidR="00531894" w:rsidRPr="00781256" w:rsidRDefault="00531894" w:rsidP="00531894">
      <w:pPr>
        <w:spacing w:line="360" w:lineRule="auto"/>
        <w:jc w:val="both"/>
      </w:pPr>
      <w:r w:rsidRPr="00781256">
        <w:t xml:space="preserve">Zisk z maloobchodnej činnosti a zo zdaňovanej činnosti sa dosiahol vo  výške </w:t>
      </w:r>
      <w:r w:rsidRPr="006D7DBD">
        <w:rPr>
          <w:b/>
        </w:rPr>
        <w:t>1.721,25 Eur</w:t>
      </w:r>
      <w:r w:rsidRPr="00781256">
        <w:t xml:space="preserve"> (ešte pred zdanením)</w:t>
      </w:r>
      <w:r>
        <w:t xml:space="preserve">. Daň vypočítaná v daňovom priznaní za rok 2014 bola vo výške 378,67 Eur, avšak v zmysle § 46b, ods. 2, 3 a 6 zákona o dani z príjmov bola povinnosť zaplatiť </w:t>
      </w:r>
      <w:r w:rsidRPr="006D7DBD">
        <w:rPr>
          <w:b/>
        </w:rPr>
        <w:t>daňovú licenciu vo výške 480,00 Eur</w:t>
      </w:r>
      <w:r>
        <w:t xml:space="preserve">. </w:t>
      </w:r>
    </w:p>
    <w:p w:rsidR="0072263B" w:rsidRPr="004E71D5" w:rsidRDefault="0072263B"/>
    <w:sectPr w:rsidR="0072263B" w:rsidRPr="004E71D5" w:rsidSect="0016092C">
      <w:footerReference w:type="even"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055" w:rsidRDefault="00F77055" w:rsidP="008A1817">
      <w:r>
        <w:separator/>
      </w:r>
    </w:p>
  </w:endnote>
  <w:endnote w:type="continuationSeparator" w:id="0">
    <w:p w:rsidR="00F77055" w:rsidRDefault="00F77055" w:rsidP="008A1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altName w:val="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050" w:rsidRDefault="00983050" w:rsidP="0016092C">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983050" w:rsidRDefault="0098305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050" w:rsidRDefault="00983050" w:rsidP="0016092C">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B13C52">
      <w:rPr>
        <w:rStyle w:val="slostrany"/>
      </w:rPr>
      <w:t>1</w:t>
    </w:r>
    <w:r>
      <w:rPr>
        <w:rStyle w:val="slostrany"/>
      </w:rPr>
      <w:fldChar w:fldCharType="end"/>
    </w:r>
  </w:p>
  <w:p w:rsidR="00983050" w:rsidRDefault="0098305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055" w:rsidRDefault="00F77055" w:rsidP="008A1817">
      <w:r>
        <w:separator/>
      </w:r>
    </w:p>
  </w:footnote>
  <w:footnote w:type="continuationSeparator" w:id="0">
    <w:p w:rsidR="00F77055" w:rsidRDefault="00F77055" w:rsidP="008A18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7090E"/>
    <w:multiLevelType w:val="hybridMultilevel"/>
    <w:tmpl w:val="2E387B0A"/>
    <w:lvl w:ilvl="0" w:tplc="30DCF6D6">
      <w:start w:val="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43B116B1"/>
    <w:multiLevelType w:val="hybridMultilevel"/>
    <w:tmpl w:val="1FCE9AB0"/>
    <w:lvl w:ilvl="0" w:tplc="32263986">
      <w:start w:val="1"/>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nsid w:val="67161601"/>
    <w:multiLevelType w:val="hybridMultilevel"/>
    <w:tmpl w:val="DC00AE12"/>
    <w:lvl w:ilvl="0" w:tplc="64C8DE68">
      <w:start w:val="5"/>
      <w:numFmt w:val="bullet"/>
      <w:lvlText w:val="-"/>
      <w:lvlJc w:val="left"/>
      <w:pPr>
        <w:ind w:left="396" w:hanging="360"/>
      </w:pPr>
      <w:rPr>
        <w:rFonts w:ascii="Calibri" w:eastAsia="Calibri" w:hAnsi="Calibri" w:cs="Times New Roman" w:hint="default"/>
        <w:i/>
      </w:rPr>
    </w:lvl>
    <w:lvl w:ilvl="1" w:tplc="041B0003" w:tentative="1">
      <w:start w:val="1"/>
      <w:numFmt w:val="bullet"/>
      <w:lvlText w:val="o"/>
      <w:lvlJc w:val="left"/>
      <w:pPr>
        <w:ind w:left="1116" w:hanging="360"/>
      </w:pPr>
      <w:rPr>
        <w:rFonts w:ascii="Courier New" w:hAnsi="Courier New" w:cs="Courier New" w:hint="default"/>
      </w:rPr>
    </w:lvl>
    <w:lvl w:ilvl="2" w:tplc="041B0005" w:tentative="1">
      <w:start w:val="1"/>
      <w:numFmt w:val="bullet"/>
      <w:lvlText w:val=""/>
      <w:lvlJc w:val="left"/>
      <w:pPr>
        <w:ind w:left="1836" w:hanging="360"/>
      </w:pPr>
      <w:rPr>
        <w:rFonts w:ascii="Wingdings" w:hAnsi="Wingdings" w:hint="default"/>
      </w:rPr>
    </w:lvl>
    <w:lvl w:ilvl="3" w:tplc="041B0001" w:tentative="1">
      <w:start w:val="1"/>
      <w:numFmt w:val="bullet"/>
      <w:lvlText w:val=""/>
      <w:lvlJc w:val="left"/>
      <w:pPr>
        <w:ind w:left="2556" w:hanging="360"/>
      </w:pPr>
      <w:rPr>
        <w:rFonts w:ascii="Symbol" w:hAnsi="Symbol" w:hint="default"/>
      </w:rPr>
    </w:lvl>
    <w:lvl w:ilvl="4" w:tplc="041B0003" w:tentative="1">
      <w:start w:val="1"/>
      <w:numFmt w:val="bullet"/>
      <w:lvlText w:val="o"/>
      <w:lvlJc w:val="left"/>
      <w:pPr>
        <w:ind w:left="3276" w:hanging="360"/>
      </w:pPr>
      <w:rPr>
        <w:rFonts w:ascii="Courier New" w:hAnsi="Courier New" w:cs="Courier New" w:hint="default"/>
      </w:rPr>
    </w:lvl>
    <w:lvl w:ilvl="5" w:tplc="041B0005" w:tentative="1">
      <w:start w:val="1"/>
      <w:numFmt w:val="bullet"/>
      <w:lvlText w:val=""/>
      <w:lvlJc w:val="left"/>
      <w:pPr>
        <w:ind w:left="3996" w:hanging="360"/>
      </w:pPr>
      <w:rPr>
        <w:rFonts w:ascii="Wingdings" w:hAnsi="Wingdings" w:hint="default"/>
      </w:rPr>
    </w:lvl>
    <w:lvl w:ilvl="6" w:tplc="041B0001" w:tentative="1">
      <w:start w:val="1"/>
      <w:numFmt w:val="bullet"/>
      <w:lvlText w:val=""/>
      <w:lvlJc w:val="left"/>
      <w:pPr>
        <w:ind w:left="4716" w:hanging="360"/>
      </w:pPr>
      <w:rPr>
        <w:rFonts w:ascii="Symbol" w:hAnsi="Symbol" w:hint="default"/>
      </w:rPr>
    </w:lvl>
    <w:lvl w:ilvl="7" w:tplc="041B0003" w:tentative="1">
      <w:start w:val="1"/>
      <w:numFmt w:val="bullet"/>
      <w:lvlText w:val="o"/>
      <w:lvlJc w:val="left"/>
      <w:pPr>
        <w:ind w:left="5436" w:hanging="360"/>
      </w:pPr>
      <w:rPr>
        <w:rFonts w:ascii="Courier New" w:hAnsi="Courier New" w:cs="Courier New" w:hint="default"/>
      </w:rPr>
    </w:lvl>
    <w:lvl w:ilvl="8" w:tplc="041B0005" w:tentative="1">
      <w:start w:val="1"/>
      <w:numFmt w:val="bullet"/>
      <w:lvlText w:val=""/>
      <w:lvlJc w:val="left"/>
      <w:pPr>
        <w:ind w:left="6156"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868"/>
    <w:rsid w:val="00020DD7"/>
    <w:rsid w:val="00045539"/>
    <w:rsid w:val="000E5673"/>
    <w:rsid w:val="001009D8"/>
    <w:rsid w:val="001075EC"/>
    <w:rsid w:val="0010789A"/>
    <w:rsid w:val="00125952"/>
    <w:rsid w:val="001409CB"/>
    <w:rsid w:val="0016092C"/>
    <w:rsid w:val="001B3B23"/>
    <w:rsid w:val="001E1A35"/>
    <w:rsid w:val="001E305C"/>
    <w:rsid w:val="00203BB7"/>
    <w:rsid w:val="0024750F"/>
    <w:rsid w:val="002A1BD7"/>
    <w:rsid w:val="0031219A"/>
    <w:rsid w:val="00312C11"/>
    <w:rsid w:val="00351CEF"/>
    <w:rsid w:val="0039145E"/>
    <w:rsid w:val="003A1C97"/>
    <w:rsid w:val="003A297C"/>
    <w:rsid w:val="003A5AF4"/>
    <w:rsid w:val="00446C3C"/>
    <w:rsid w:val="004825E8"/>
    <w:rsid w:val="004B29B8"/>
    <w:rsid w:val="004E3A2A"/>
    <w:rsid w:val="004E71D5"/>
    <w:rsid w:val="00502EA7"/>
    <w:rsid w:val="00527ED8"/>
    <w:rsid w:val="00531894"/>
    <w:rsid w:val="00556725"/>
    <w:rsid w:val="00562213"/>
    <w:rsid w:val="005F510C"/>
    <w:rsid w:val="006A5382"/>
    <w:rsid w:val="006D2836"/>
    <w:rsid w:val="006E57DB"/>
    <w:rsid w:val="006F1BD2"/>
    <w:rsid w:val="006F4C07"/>
    <w:rsid w:val="0072263B"/>
    <w:rsid w:val="00725F72"/>
    <w:rsid w:val="007B4331"/>
    <w:rsid w:val="007F0B08"/>
    <w:rsid w:val="00802541"/>
    <w:rsid w:val="008A1817"/>
    <w:rsid w:val="008B77FF"/>
    <w:rsid w:val="008E2F0E"/>
    <w:rsid w:val="008E3D4D"/>
    <w:rsid w:val="008E69F7"/>
    <w:rsid w:val="008F69E7"/>
    <w:rsid w:val="00906368"/>
    <w:rsid w:val="00965DF0"/>
    <w:rsid w:val="00970B7A"/>
    <w:rsid w:val="00983050"/>
    <w:rsid w:val="009A233D"/>
    <w:rsid w:val="00A7234E"/>
    <w:rsid w:val="00A745A6"/>
    <w:rsid w:val="00B13C52"/>
    <w:rsid w:val="00B1742C"/>
    <w:rsid w:val="00B95B4B"/>
    <w:rsid w:val="00BC4F23"/>
    <w:rsid w:val="00BE3672"/>
    <w:rsid w:val="00C52294"/>
    <w:rsid w:val="00CC7E95"/>
    <w:rsid w:val="00D00627"/>
    <w:rsid w:val="00D75EC0"/>
    <w:rsid w:val="00DC6E15"/>
    <w:rsid w:val="00E226C4"/>
    <w:rsid w:val="00E935E9"/>
    <w:rsid w:val="00F64CBF"/>
    <w:rsid w:val="00F75491"/>
    <w:rsid w:val="00F77055"/>
    <w:rsid w:val="00F95304"/>
    <w:rsid w:val="00FD6DF6"/>
    <w:rsid w:val="00FF58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F5868"/>
    <w:pPr>
      <w:spacing w:after="0" w:line="240" w:lineRule="auto"/>
    </w:pPr>
    <w:rPr>
      <w:rFonts w:ascii="Times New Roman" w:eastAsia="Times New Roman" w:hAnsi="Times New Roman" w:cs="Times New Roman"/>
      <w:noProof/>
      <w:sz w:val="24"/>
      <w:szCs w:val="24"/>
      <w:lang w:eastAsia="sk-SK"/>
    </w:rPr>
  </w:style>
  <w:style w:type="paragraph" w:styleId="Nadpis2">
    <w:name w:val="heading 2"/>
    <w:basedOn w:val="Normlny"/>
    <w:link w:val="Nadpis2Char"/>
    <w:uiPriority w:val="9"/>
    <w:qFormat/>
    <w:rsid w:val="00FF5868"/>
    <w:pPr>
      <w:spacing w:before="240" w:after="240"/>
      <w:outlineLvl w:val="1"/>
    </w:pPr>
    <w:rPr>
      <w:rFonts w:ascii="Verdana" w:hAnsi="Verdana"/>
      <w:noProof w:val="0"/>
      <w:sz w:val="37"/>
      <w:szCs w:val="37"/>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FF5868"/>
    <w:rPr>
      <w:rFonts w:ascii="Verdana" w:eastAsia="Times New Roman" w:hAnsi="Verdana" w:cs="Times New Roman"/>
      <w:sz w:val="37"/>
      <w:szCs w:val="37"/>
      <w:lang w:eastAsia="sk-SK"/>
    </w:rPr>
  </w:style>
  <w:style w:type="paragraph" w:styleId="Podtitul">
    <w:name w:val="Subtitle"/>
    <w:basedOn w:val="Normlny"/>
    <w:link w:val="PodtitulChar"/>
    <w:qFormat/>
    <w:rsid w:val="00FF5868"/>
    <w:pPr>
      <w:spacing w:line="360" w:lineRule="auto"/>
      <w:jc w:val="both"/>
    </w:pPr>
    <w:rPr>
      <w:szCs w:val="20"/>
    </w:rPr>
  </w:style>
  <w:style w:type="character" w:customStyle="1" w:styleId="PodtitulChar">
    <w:name w:val="Podtitul Char"/>
    <w:basedOn w:val="Predvolenpsmoodseku"/>
    <w:link w:val="Podtitul"/>
    <w:rsid w:val="00FF5868"/>
    <w:rPr>
      <w:rFonts w:ascii="Times New Roman" w:eastAsia="Times New Roman" w:hAnsi="Times New Roman" w:cs="Times New Roman"/>
      <w:noProof/>
      <w:sz w:val="24"/>
      <w:szCs w:val="20"/>
      <w:lang w:eastAsia="sk-SK"/>
    </w:rPr>
  </w:style>
  <w:style w:type="paragraph" w:styleId="Pta">
    <w:name w:val="footer"/>
    <w:basedOn w:val="Normlny"/>
    <w:link w:val="PtaChar"/>
    <w:rsid w:val="00FF5868"/>
    <w:pPr>
      <w:tabs>
        <w:tab w:val="center" w:pos="4536"/>
        <w:tab w:val="right" w:pos="9072"/>
      </w:tabs>
    </w:pPr>
  </w:style>
  <w:style w:type="character" w:customStyle="1" w:styleId="PtaChar">
    <w:name w:val="Päta Char"/>
    <w:basedOn w:val="Predvolenpsmoodseku"/>
    <w:link w:val="Pta"/>
    <w:rsid w:val="00FF5868"/>
    <w:rPr>
      <w:rFonts w:ascii="Times New Roman" w:eastAsia="Times New Roman" w:hAnsi="Times New Roman" w:cs="Times New Roman"/>
      <w:noProof/>
      <w:sz w:val="24"/>
      <w:szCs w:val="24"/>
      <w:lang w:eastAsia="sk-SK"/>
    </w:rPr>
  </w:style>
  <w:style w:type="character" w:styleId="slostrany">
    <w:name w:val="page number"/>
    <w:basedOn w:val="Predvolenpsmoodseku"/>
    <w:rsid w:val="00FF5868"/>
  </w:style>
  <w:style w:type="paragraph" w:customStyle="1" w:styleId="StylNormalText">
    <w:name w:val="Styl NormalText"/>
    <w:basedOn w:val="Normlny"/>
    <w:rsid w:val="00FF5868"/>
    <w:pPr>
      <w:spacing w:before="120" w:after="120"/>
      <w:jc w:val="both"/>
    </w:pPr>
    <w:rPr>
      <w:rFonts w:ascii="Arial" w:hAnsi="Arial"/>
      <w:color w:val="000000"/>
      <w:sz w:val="18"/>
      <w:szCs w:val="20"/>
      <w:lang w:val="cs-CZ" w:eastAsia="cs-CZ"/>
    </w:rPr>
  </w:style>
  <w:style w:type="paragraph" w:customStyle="1" w:styleId="StylTableText">
    <w:name w:val="Styl TableText"/>
    <w:basedOn w:val="Normlny"/>
    <w:rsid w:val="00FF5868"/>
    <w:pPr>
      <w:spacing w:beforeAutospacing="1" w:afterAutospacing="1"/>
    </w:pPr>
    <w:rPr>
      <w:rFonts w:ascii="Arial" w:hAnsi="Arial"/>
      <w:color w:val="000000"/>
      <w:sz w:val="16"/>
      <w:szCs w:val="20"/>
      <w:lang w:val="cs-CZ" w:eastAsia="cs-CZ"/>
    </w:rPr>
  </w:style>
  <w:style w:type="paragraph" w:customStyle="1" w:styleId="StylTableHeadText">
    <w:name w:val="Styl TableHeadText"/>
    <w:basedOn w:val="Normlny"/>
    <w:rsid w:val="00FF5868"/>
    <w:pPr>
      <w:spacing w:beforeAutospacing="1" w:afterAutospacing="1"/>
    </w:pPr>
    <w:rPr>
      <w:rFonts w:ascii="Arial" w:hAnsi="Arial"/>
      <w:b/>
      <w:bCs/>
      <w:color w:val="000000"/>
      <w:sz w:val="16"/>
      <w:szCs w:val="20"/>
      <w:lang w:val="cs-CZ" w:eastAsia="cs-CZ"/>
    </w:rPr>
  </w:style>
  <w:style w:type="paragraph" w:customStyle="1" w:styleId="StylTableNumber">
    <w:name w:val="Styl TableNumber"/>
    <w:basedOn w:val="Normlny"/>
    <w:rsid w:val="00FF5868"/>
    <w:pPr>
      <w:spacing w:beforeAutospacing="1" w:afterAutospacing="1"/>
      <w:jc w:val="right"/>
    </w:pPr>
    <w:rPr>
      <w:rFonts w:ascii="Arial" w:hAnsi="Arial"/>
      <w:color w:val="000000"/>
      <w:sz w:val="16"/>
      <w:szCs w:val="20"/>
      <w:lang w:val="cs-CZ" w:eastAsia="cs-CZ"/>
    </w:rPr>
  </w:style>
  <w:style w:type="paragraph" w:customStyle="1" w:styleId="StylTableSumText">
    <w:name w:val="Styl TableSumText"/>
    <w:basedOn w:val="StylTableHeadText"/>
    <w:rsid w:val="00FF5868"/>
  </w:style>
  <w:style w:type="paragraph" w:customStyle="1" w:styleId="StylTableSumNumber">
    <w:name w:val="Styl TableSumNumber"/>
    <w:basedOn w:val="Normlny"/>
    <w:rsid w:val="00FF5868"/>
    <w:pPr>
      <w:spacing w:beforeAutospacing="1" w:afterAutospacing="1"/>
      <w:jc w:val="right"/>
    </w:pPr>
    <w:rPr>
      <w:rFonts w:ascii="Arial" w:hAnsi="Arial"/>
      <w:b/>
      <w:bCs/>
      <w:color w:val="000000"/>
      <w:sz w:val="16"/>
      <w:szCs w:val="20"/>
      <w:lang w:val="cs-CZ" w:eastAsia="cs-CZ"/>
    </w:rPr>
  </w:style>
  <w:style w:type="paragraph" w:customStyle="1" w:styleId="StylNormalFlow">
    <w:name w:val="Styl NormalFlow"/>
    <w:basedOn w:val="StylNormalText"/>
    <w:rsid w:val="00FF5868"/>
    <w:pPr>
      <w:contextualSpacing/>
    </w:pPr>
  </w:style>
  <w:style w:type="paragraph" w:customStyle="1" w:styleId="VykazZakladny">
    <w:name w:val="Vykaz Zakladny"/>
    <w:aliases w:val="odstavec"/>
    <w:basedOn w:val="Normlny"/>
    <w:rsid w:val="00FF5868"/>
    <w:pPr>
      <w:spacing w:after="60"/>
      <w:jc w:val="both"/>
    </w:pPr>
    <w:rPr>
      <w:rFonts w:ascii="Arial" w:hAnsi="Arial"/>
      <w:noProof w:val="0"/>
      <w:sz w:val="18"/>
      <w:szCs w:val="20"/>
      <w:lang w:eastAsia="cs-CZ"/>
    </w:rPr>
  </w:style>
  <w:style w:type="character" w:customStyle="1" w:styleId="st1">
    <w:name w:val="st1"/>
    <w:basedOn w:val="Predvolenpsmoodseku"/>
    <w:rsid w:val="00FF5868"/>
  </w:style>
  <w:style w:type="character" w:styleId="Hypertextovprepojenie">
    <w:name w:val="Hyperlink"/>
    <w:basedOn w:val="Predvolenpsmoodseku"/>
    <w:uiPriority w:val="99"/>
    <w:unhideWhenUsed/>
    <w:rsid w:val="00FF5868"/>
    <w:rPr>
      <w:color w:val="0000FF" w:themeColor="hyperlink"/>
      <w:u w:val="single"/>
    </w:rPr>
  </w:style>
  <w:style w:type="table" w:styleId="Mriekatabuky">
    <w:name w:val="Table Grid"/>
    <w:basedOn w:val="Normlnatabuka"/>
    <w:uiPriority w:val="99"/>
    <w:rsid w:val="00FF5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FF5868"/>
    <w:pPr>
      <w:ind w:left="720"/>
      <w:contextualSpacing/>
    </w:pPr>
  </w:style>
  <w:style w:type="character" w:styleId="Siln">
    <w:name w:val="Strong"/>
    <w:basedOn w:val="Predvolenpsmoodseku"/>
    <w:uiPriority w:val="22"/>
    <w:qFormat/>
    <w:rsid w:val="00FF5868"/>
    <w:rPr>
      <w:b/>
      <w:bCs/>
    </w:rPr>
  </w:style>
  <w:style w:type="paragraph" w:customStyle="1" w:styleId="VykazTabtextvlavo">
    <w:name w:val="Vykaz Tab text vlavo"/>
    <w:basedOn w:val="Normlny"/>
    <w:next w:val="Normlny"/>
    <w:rsid w:val="00FF5868"/>
    <w:rPr>
      <w:rFonts w:ascii="Arial" w:hAnsi="Arial"/>
      <w:noProof w:val="0"/>
      <w:snapToGrid w:val="0"/>
      <w:sz w:val="18"/>
      <w:szCs w:val="20"/>
      <w:lang w:eastAsia="cs-CZ"/>
    </w:rPr>
  </w:style>
  <w:style w:type="character" w:customStyle="1" w:styleId="style1">
    <w:name w:val="style1"/>
    <w:basedOn w:val="Predvolenpsmoodseku"/>
    <w:rsid w:val="007B4331"/>
  </w:style>
  <w:style w:type="character" w:styleId="Zvraznenie">
    <w:name w:val="Emphasis"/>
    <w:basedOn w:val="Predvolenpsmoodseku"/>
    <w:uiPriority w:val="20"/>
    <w:qFormat/>
    <w:rsid w:val="001075EC"/>
    <w:rPr>
      <w:i/>
      <w:iCs/>
    </w:rPr>
  </w:style>
  <w:style w:type="character" w:customStyle="1" w:styleId="st">
    <w:name w:val="st"/>
    <w:basedOn w:val="Predvolenpsmoodseku"/>
    <w:rsid w:val="001075EC"/>
  </w:style>
  <w:style w:type="paragraph" w:styleId="Textbubliny">
    <w:name w:val="Balloon Text"/>
    <w:basedOn w:val="Normlny"/>
    <w:link w:val="TextbublinyChar"/>
    <w:uiPriority w:val="99"/>
    <w:semiHidden/>
    <w:unhideWhenUsed/>
    <w:rsid w:val="00B13C52"/>
    <w:rPr>
      <w:rFonts w:ascii="Tahoma" w:hAnsi="Tahoma" w:cs="Tahoma"/>
      <w:sz w:val="16"/>
      <w:szCs w:val="16"/>
    </w:rPr>
  </w:style>
  <w:style w:type="character" w:customStyle="1" w:styleId="TextbublinyChar">
    <w:name w:val="Text bubliny Char"/>
    <w:basedOn w:val="Predvolenpsmoodseku"/>
    <w:link w:val="Textbubliny"/>
    <w:uiPriority w:val="99"/>
    <w:semiHidden/>
    <w:rsid w:val="00B13C52"/>
    <w:rPr>
      <w:rFonts w:ascii="Tahoma" w:eastAsia="Times New Roman" w:hAnsi="Tahoma" w:cs="Tahoma"/>
      <w:noProof/>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F5868"/>
    <w:pPr>
      <w:spacing w:after="0" w:line="240" w:lineRule="auto"/>
    </w:pPr>
    <w:rPr>
      <w:rFonts w:ascii="Times New Roman" w:eastAsia="Times New Roman" w:hAnsi="Times New Roman" w:cs="Times New Roman"/>
      <w:noProof/>
      <w:sz w:val="24"/>
      <w:szCs w:val="24"/>
      <w:lang w:eastAsia="sk-SK"/>
    </w:rPr>
  </w:style>
  <w:style w:type="paragraph" w:styleId="Nadpis2">
    <w:name w:val="heading 2"/>
    <w:basedOn w:val="Normlny"/>
    <w:link w:val="Nadpis2Char"/>
    <w:uiPriority w:val="9"/>
    <w:qFormat/>
    <w:rsid w:val="00FF5868"/>
    <w:pPr>
      <w:spacing w:before="240" w:after="240"/>
      <w:outlineLvl w:val="1"/>
    </w:pPr>
    <w:rPr>
      <w:rFonts w:ascii="Verdana" w:hAnsi="Verdana"/>
      <w:noProof w:val="0"/>
      <w:sz w:val="37"/>
      <w:szCs w:val="37"/>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FF5868"/>
    <w:rPr>
      <w:rFonts w:ascii="Verdana" w:eastAsia="Times New Roman" w:hAnsi="Verdana" w:cs="Times New Roman"/>
      <w:sz w:val="37"/>
      <w:szCs w:val="37"/>
      <w:lang w:eastAsia="sk-SK"/>
    </w:rPr>
  </w:style>
  <w:style w:type="paragraph" w:styleId="Podtitul">
    <w:name w:val="Subtitle"/>
    <w:basedOn w:val="Normlny"/>
    <w:link w:val="PodtitulChar"/>
    <w:qFormat/>
    <w:rsid w:val="00FF5868"/>
    <w:pPr>
      <w:spacing w:line="360" w:lineRule="auto"/>
      <w:jc w:val="both"/>
    </w:pPr>
    <w:rPr>
      <w:szCs w:val="20"/>
    </w:rPr>
  </w:style>
  <w:style w:type="character" w:customStyle="1" w:styleId="PodtitulChar">
    <w:name w:val="Podtitul Char"/>
    <w:basedOn w:val="Predvolenpsmoodseku"/>
    <w:link w:val="Podtitul"/>
    <w:rsid w:val="00FF5868"/>
    <w:rPr>
      <w:rFonts w:ascii="Times New Roman" w:eastAsia="Times New Roman" w:hAnsi="Times New Roman" w:cs="Times New Roman"/>
      <w:noProof/>
      <w:sz w:val="24"/>
      <w:szCs w:val="20"/>
      <w:lang w:eastAsia="sk-SK"/>
    </w:rPr>
  </w:style>
  <w:style w:type="paragraph" w:styleId="Pta">
    <w:name w:val="footer"/>
    <w:basedOn w:val="Normlny"/>
    <w:link w:val="PtaChar"/>
    <w:rsid w:val="00FF5868"/>
    <w:pPr>
      <w:tabs>
        <w:tab w:val="center" w:pos="4536"/>
        <w:tab w:val="right" w:pos="9072"/>
      </w:tabs>
    </w:pPr>
  </w:style>
  <w:style w:type="character" w:customStyle="1" w:styleId="PtaChar">
    <w:name w:val="Päta Char"/>
    <w:basedOn w:val="Predvolenpsmoodseku"/>
    <w:link w:val="Pta"/>
    <w:rsid w:val="00FF5868"/>
    <w:rPr>
      <w:rFonts w:ascii="Times New Roman" w:eastAsia="Times New Roman" w:hAnsi="Times New Roman" w:cs="Times New Roman"/>
      <w:noProof/>
      <w:sz w:val="24"/>
      <w:szCs w:val="24"/>
      <w:lang w:eastAsia="sk-SK"/>
    </w:rPr>
  </w:style>
  <w:style w:type="character" w:styleId="slostrany">
    <w:name w:val="page number"/>
    <w:basedOn w:val="Predvolenpsmoodseku"/>
    <w:rsid w:val="00FF5868"/>
  </w:style>
  <w:style w:type="paragraph" w:customStyle="1" w:styleId="StylNormalText">
    <w:name w:val="Styl NormalText"/>
    <w:basedOn w:val="Normlny"/>
    <w:rsid w:val="00FF5868"/>
    <w:pPr>
      <w:spacing w:before="120" w:after="120"/>
      <w:jc w:val="both"/>
    </w:pPr>
    <w:rPr>
      <w:rFonts w:ascii="Arial" w:hAnsi="Arial"/>
      <w:color w:val="000000"/>
      <w:sz w:val="18"/>
      <w:szCs w:val="20"/>
      <w:lang w:val="cs-CZ" w:eastAsia="cs-CZ"/>
    </w:rPr>
  </w:style>
  <w:style w:type="paragraph" w:customStyle="1" w:styleId="StylTableText">
    <w:name w:val="Styl TableText"/>
    <w:basedOn w:val="Normlny"/>
    <w:rsid w:val="00FF5868"/>
    <w:pPr>
      <w:spacing w:beforeAutospacing="1" w:afterAutospacing="1"/>
    </w:pPr>
    <w:rPr>
      <w:rFonts w:ascii="Arial" w:hAnsi="Arial"/>
      <w:color w:val="000000"/>
      <w:sz w:val="16"/>
      <w:szCs w:val="20"/>
      <w:lang w:val="cs-CZ" w:eastAsia="cs-CZ"/>
    </w:rPr>
  </w:style>
  <w:style w:type="paragraph" w:customStyle="1" w:styleId="StylTableHeadText">
    <w:name w:val="Styl TableHeadText"/>
    <w:basedOn w:val="Normlny"/>
    <w:rsid w:val="00FF5868"/>
    <w:pPr>
      <w:spacing w:beforeAutospacing="1" w:afterAutospacing="1"/>
    </w:pPr>
    <w:rPr>
      <w:rFonts w:ascii="Arial" w:hAnsi="Arial"/>
      <w:b/>
      <w:bCs/>
      <w:color w:val="000000"/>
      <w:sz w:val="16"/>
      <w:szCs w:val="20"/>
      <w:lang w:val="cs-CZ" w:eastAsia="cs-CZ"/>
    </w:rPr>
  </w:style>
  <w:style w:type="paragraph" w:customStyle="1" w:styleId="StylTableNumber">
    <w:name w:val="Styl TableNumber"/>
    <w:basedOn w:val="Normlny"/>
    <w:rsid w:val="00FF5868"/>
    <w:pPr>
      <w:spacing w:beforeAutospacing="1" w:afterAutospacing="1"/>
      <w:jc w:val="right"/>
    </w:pPr>
    <w:rPr>
      <w:rFonts w:ascii="Arial" w:hAnsi="Arial"/>
      <w:color w:val="000000"/>
      <w:sz w:val="16"/>
      <w:szCs w:val="20"/>
      <w:lang w:val="cs-CZ" w:eastAsia="cs-CZ"/>
    </w:rPr>
  </w:style>
  <w:style w:type="paragraph" w:customStyle="1" w:styleId="StylTableSumText">
    <w:name w:val="Styl TableSumText"/>
    <w:basedOn w:val="StylTableHeadText"/>
    <w:rsid w:val="00FF5868"/>
  </w:style>
  <w:style w:type="paragraph" w:customStyle="1" w:styleId="StylTableSumNumber">
    <w:name w:val="Styl TableSumNumber"/>
    <w:basedOn w:val="Normlny"/>
    <w:rsid w:val="00FF5868"/>
    <w:pPr>
      <w:spacing w:beforeAutospacing="1" w:afterAutospacing="1"/>
      <w:jc w:val="right"/>
    </w:pPr>
    <w:rPr>
      <w:rFonts w:ascii="Arial" w:hAnsi="Arial"/>
      <w:b/>
      <w:bCs/>
      <w:color w:val="000000"/>
      <w:sz w:val="16"/>
      <w:szCs w:val="20"/>
      <w:lang w:val="cs-CZ" w:eastAsia="cs-CZ"/>
    </w:rPr>
  </w:style>
  <w:style w:type="paragraph" w:customStyle="1" w:styleId="StylNormalFlow">
    <w:name w:val="Styl NormalFlow"/>
    <w:basedOn w:val="StylNormalText"/>
    <w:rsid w:val="00FF5868"/>
    <w:pPr>
      <w:contextualSpacing/>
    </w:pPr>
  </w:style>
  <w:style w:type="paragraph" w:customStyle="1" w:styleId="VykazZakladny">
    <w:name w:val="Vykaz Zakladny"/>
    <w:aliases w:val="odstavec"/>
    <w:basedOn w:val="Normlny"/>
    <w:rsid w:val="00FF5868"/>
    <w:pPr>
      <w:spacing w:after="60"/>
      <w:jc w:val="both"/>
    </w:pPr>
    <w:rPr>
      <w:rFonts w:ascii="Arial" w:hAnsi="Arial"/>
      <w:noProof w:val="0"/>
      <w:sz w:val="18"/>
      <w:szCs w:val="20"/>
      <w:lang w:eastAsia="cs-CZ"/>
    </w:rPr>
  </w:style>
  <w:style w:type="character" w:customStyle="1" w:styleId="st1">
    <w:name w:val="st1"/>
    <w:basedOn w:val="Predvolenpsmoodseku"/>
    <w:rsid w:val="00FF5868"/>
  </w:style>
  <w:style w:type="character" w:styleId="Hypertextovprepojenie">
    <w:name w:val="Hyperlink"/>
    <w:basedOn w:val="Predvolenpsmoodseku"/>
    <w:uiPriority w:val="99"/>
    <w:unhideWhenUsed/>
    <w:rsid w:val="00FF5868"/>
    <w:rPr>
      <w:color w:val="0000FF" w:themeColor="hyperlink"/>
      <w:u w:val="single"/>
    </w:rPr>
  </w:style>
  <w:style w:type="table" w:styleId="Mriekatabuky">
    <w:name w:val="Table Grid"/>
    <w:basedOn w:val="Normlnatabuka"/>
    <w:uiPriority w:val="99"/>
    <w:rsid w:val="00FF5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FF5868"/>
    <w:pPr>
      <w:ind w:left="720"/>
      <w:contextualSpacing/>
    </w:pPr>
  </w:style>
  <w:style w:type="character" w:styleId="Siln">
    <w:name w:val="Strong"/>
    <w:basedOn w:val="Predvolenpsmoodseku"/>
    <w:uiPriority w:val="22"/>
    <w:qFormat/>
    <w:rsid w:val="00FF5868"/>
    <w:rPr>
      <w:b/>
      <w:bCs/>
    </w:rPr>
  </w:style>
  <w:style w:type="paragraph" w:customStyle="1" w:styleId="VykazTabtextvlavo">
    <w:name w:val="Vykaz Tab text vlavo"/>
    <w:basedOn w:val="Normlny"/>
    <w:next w:val="Normlny"/>
    <w:rsid w:val="00FF5868"/>
    <w:rPr>
      <w:rFonts w:ascii="Arial" w:hAnsi="Arial"/>
      <w:noProof w:val="0"/>
      <w:snapToGrid w:val="0"/>
      <w:sz w:val="18"/>
      <w:szCs w:val="20"/>
      <w:lang w:eastAsia="cs-CZ"/>
    </w:rPr>
  </w:style>
  <w:style w:type="character" w:customStyle="1" w:styleId="style1">
    <w:name w:val="style1"/>
    <w:basedOn w:val="Predvolenpsmoodseku"/>
    <w:rsid w:val="007B4331"/>
  </w:style>
  <w:style w:type="character" w:styleId="Zvraznenie">
    <w:name w:val="Emphasis"/>
    <w:basedOn w:val="Predvolenpsmoodseku"/>
    <w:uiPriority w:val="20"/>
    <w:qFormat/>
    <w:rsid w:val="001075EC"/>
    <w:rPr>
      <w:i/>
      <w:iCs/>
    </w:rPr>
  </w:style>
  <w:style w:type="character" w:customStyle="1" w:styleId="st">
    <w:name w:val="st"/>
    <w:basedOn w:val="Predvolenpsmoodseku"/>
    <w:rsid w:val="001075EC"/>
  </w:style>
  <w:style w:type="paragraph" w:styleId="Textbubliny">
    <w:name w:val="Balloon Text"/>
    <w:basedOn w:val="Normlny"/>
    <w:link w:val="TextbublinyChar"/>
    <w:uiPriority w:val="99"/>
    <w:semiHidden/>
    <w:unhideWhenUsed/>
    <w:rsid w:val="00B13C52"/>
    <w:rPr>
      <w:rFonts w:ascii="Tahoma" w:hAnsi="Tahoma" w:cs="Tahoma"/>
      <w:sz w:val="16"/>
      <w:szCs w:val="16"/>
    </w:rPr>
  </w:style>
  <w:style w:type="character" w:customStyle="1" w:styleId="TextbublinyChar">
    <w:name w:val="Text bubliny Char"/>
    <w:basedOn w:val="Predvolenpsmoodseku"/>
    <w:link w:val="Textbubliny"/>
    <w:uiPriority w:val="99"/>
    <w:semiHidden/>
    <w:rsid w:val="00B13C52"/>
    <w:rPr>
      <w:rFonts w:ascii="Tahoma" w:eastAsia="Times New Roman" w:hAnsi="Tahoma" w:cs="Tahoma"/>
      <w:noProof/>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89656">
      <w:bodyDiv w:val="1"/>
      <w:marLeft w:val="0"/>
      <w:marRight w:val="0"/>
      <w:marTop w:val="0"/>
      <w:marBottom w:val="0"/>
      <w:divBdr>
        <w:top w:val="none" w:sz="0" w:space="0" w:color="auto"/>
        <w:left w:val="none" w:sz="0" w:space="0" w:color="auto"/>
        <w:bottom w:val="none" w:sz="0" w:space="0" w:color="auto"/>
        <w:right w:val="none" w:sz="0" w:space="0" w:color="auto"/>
      </w:divBdr>
    </w:div>
    <w:div w:id="1124999754">
      <w:bodyDiv w:val="1"/>
      <w:marLeft w:val="0"/>
      <w:marRight w:val="0"/>
      <w:marTop w:val="0"/>
      <w:marBottom w:val="0"/>
      <w:divBdr>
        <w:top w:val="none" w:sz="0" w:space="0" w:color="auto"/>
        <w:left w:val="none" w:sz="0" w:space="0" w:color="auto"/>
        <w:bottom w:val="none" w:sz="0" w:space="0" w:color="auto"/>
        <w:right w:val="none" w:sz="0" w:space="0" w:color="auto"/>
      </w:divBdr>
    </w:div>
    <w:div w:id="155701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hanastrbova.wbs.cz/Divadelni-spolek-CYLINDR.html" TargetMode="External"/><Relationship Id="rId18" Type="http://schemas.openxmlformats.org/officeDocument/2006/relationships/hyperlink" Target="http://www.kultiplex.sk" TargetMode="Externa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lelekpenditok.hu" TargetMode="External"/><Relationship Id="rId17" Type="http://schemas.openxmlformats.org/officeDocument/2006/relationships/hyperlink" Target="http://www.nocka.sk" TargetMode="External"/><Relationship Id="rId2" Type="http://schemas.openxmlformats.org/officeDocument/2006/relationships/styles" Target="styles.xml"/><Relationship Id="rId16" Type="http://schemas.openxmlformats.org/officeDocument/2006/relationships/hyperlink" Target="http://www.ziveslovensko.sk"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antomima.pl" TargetMode="External"/><Relationship Id="rId5" Type="http://schemas.openxmlformats.org/officeDocument/2006/relationships/webSettings" Target="webSettings.xml"/><Relationship Id="rId15" Type="http://schemas.openxmlformats.org/officeDocument/2006/relationships/hyperlink" Target="http://www.hradfilakovo.sk" TargetMode="External"/><Relationship Id="rId23" Type="http://schemas.openxmlformats.org/officeDocument/2006/relationships/theme" Target="theme/theme1.xml"/><Relationship Id="rId10" Type="http://schemas.openxmlformats.org/officeDocument/2006/relationships/hyperlink" Target="http://www.hanastrbova.wbs.cz/Divadelni-spolek-CYLINDR.html" TargetMode="External"/><Relationship Id="rId19" Type="http://schemas.openxmlformats.org/officeDocument/2006/relationships/hyperlink" Target="http://www.slovakia.trave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fulekivar.sk"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5928</Words>
  <Characters>33794</Characters>
  <Application>Microsoft Office Word</Application>
  <DocSecurity>0</DocSecurity>
  <Lines>281</Lines>
  <Paragraphs>79</Paragraphs>
  <ScaleCrop>false</ScaleCrop>
  <HeadingPairs>
    <vt:vector size="2" baseType="variant">
      <vt:variant>
        <vt:lpstr>Názov</vt:lpstr>
      </vt:variant>
      <vt:variant>
        <vt:i4>1</vt:i4>
      </vt:variant>
    </vt:vector>
  </HeadingPairs>
  <TitlesOfParts>
    <vt:vector size="1" baseType="lpstr">
      <vt:lpstr/>
    </vt:vector>
  </TitlesOfParts>
  <Company>Hradné múzeum</Company>
  <LinksUpToDate>false</LinksUpToDate>
  <CharactersWithSpaces>39643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HMF</dc:creator>
  <cp:lastModifiedBy>user</cp:lastModifiedBy>
  <cp:revision>2</cp:revision>
  <cp:lastPrinted>2015-06-11T06:21:00Z</cp:lastPrinted>
  <dcterms:created xsi:type="dcterms:W3CDTF">2015-06-11T06:34:00Z</dcterms:created>
  <dcterms:modified xsi:type="dcterms:W3CDTF">2015-06-11T06:34:00Z</dcterms:modified>
</cp:coreProperties>
</file>