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</w:t>
      </w:r>
      <w:r w:rsidR="00330DA1">
        <w:rPr>
          <w:b/>
          <w:szCs w:val="24"/>
        </w:rPr>
        <w:t>2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</w:t>
      </w:r>
      <w:r w:rsidR="00330DA1">
        <w:rPr>
          <w:szCs w:val="24"/>
        </w:rPr>
        <w:t xml:space="preserve">VÚB, </w:t>
      </w:r>
      <w:proofErr w:type="spellStart"/>
      <w:r w:rsidR="00330DA1">
        <w:rPr>
          <w:szCs w:val="24"/>
        </w:rPr>
        <w:t>a.s</w:t>
      </w:r>
      <w:proofErr w:type="spellEnd"/>
      <w:r w:rsidR="00330DA1">
        <w:rPr>
          <w:szCs w:val="24"/>
        </w:rPr>
        <w:t>.</w:t>
      </w:r>
      <w:r w:rsidRPr="007B66F8">
        <w:rPr>
          <w:szCs w:val="24"/>
        </w:rPr>
        <w:t>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</w:t>
      </w:r>
      <w:r w:rsidR="00330DA1">
        <w:rPr>
          <w:szCs w:val="24"/>
        </w:rPr>
        <w:t>2915596059/0200</w:t>
      </w:r>
      <w:r w:rsidRPr="007B66F8">
        <w:rPr>
          <w:szCs w:val="24"/>
        </w:rPr>
        <w:t xml:space="preserve">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</w:t>
      </w:r>
      <w:r w:rsidR="00330DA1">
        <w:rPr>
          <w:szCs w:val="24"/>
        </w:rPr>
        <w:t>33 0200 0000 0029 1559 6059</w:t>
      </w:r>
    </w:p>
    <w:p w:rsidR="00B80BB4" w:rsidRDefault="00B80BB4" w:rsidP="00B80BB4">
      <w:r w:rsidRPr="007B66F8">
        <w:t xml:space="preserve">BIC: </w:t>
      </w:r>
      <w:r w:rsidR="00330DA1">
        <w:t>SUBA</w:t>
      </w:r>
      <w:r w:rsidRPr="007B66F8">
        <w:t xml:space="preserve">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330DA1" w:rsidRDefault="00330DA1" w:rsidP="00B80BB4"/>
    <w:p w:rsidR="00330DA1" w:rsidRPr="007B66F8" w:rsidRDefault="00330DA1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6F75B8" w:rsidRDefault="006F75B8" w:rsidP="006F75B8">
      <w:pPr>
        <w:jc w:val="center"/>
        <w:rPr>
          <w:b/>
        </w:rPr>
      </w:pPr>
      <w:r>
        <w:rPr>
          <w:b/>
        </w:rPr>
        <w:t>Čl. I</w:t>
      </w:r>
    </w:p>
    <w:p w:rsidR="006F75B8" w:rsidRDefault="006F75B8" w:rsidP="006F75B8">
      <w:pPr>
        <w:jc w:val="center"/>
        <w:rPr>
          <w:b/>
        </w:rPr>
      </w:pPr>
      <w:r>
        <w:rPr>
          <w:b/>
        </w:rPr>
        <w:t>Predmet a účel nájmu</w:t>
      </w:r>
    </w:p>
    <w:p w:rsidR="006F75B8" w:rsidRDefault="006F75B8" w:rsidP="006F75B8">
      <w:pPr>
        <w:jc w:val="both"/>
        <w:rPr>
          <w:b/>
        </w:rPr>
      </w:pPr>
    </w:p>
    <w:p w:rsidR="006F75B8" w:rsidRDefault="006F75B8" w:rsidP="006F75B8">
      <w:pPr>
        <w:pStyle w:val="Zkladntext2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6F75B8" w:rsidRDefault="006F75B8" w:rsidP="006F75B8">
      <w:pPr>
        <w:pStyle w:val="Zkladntext22"/>
        <w:tabs>
          <w:tab w:val="left" w:pos="360"/>
        </w:tabs>
      </w:pPr>
    </w:p>
    <w:p w:rsidR="006F75B8" w:rsidRDefault="006F75B8" w:rsidP="006F75B8">
      <w:pPr>
        <w:pStyle w:val="Zkladntext22"/>
        <w:tabs>
          <w:tab w:val="left" w:pos="360"/>
        </w:tabs>
      </w:pPr>
      <w:r>
        <w:t xml:space="preserve">2. Prenajímateľ prenajíma nájomcovi nebytové priestory na prízemí a to </w:t>
      </w:r>
      <w:r w:rsidRPr="005E27BD">
        <w:rPr>
          <w:b/>
        </w:rPr>
        <w:t>miestnosť č. 2</w:t>
      </w:r>
      <w:r>
        <w:t xml:space="preserve"> v ľavej časti budovy o</w:t>
      </w:r>
      <w:r w:rsidR="00330DA1">
        <w:t xml:space="preserve"> celkovej </w:t>
      </w:r>
      <w:r>
        <w:t>podlahovej ploche 83,0 m</w:t>
      </w:r>
      <w:r>
        <w:rPr>
          <w:vertAlign w:val="superscript"/>
        </w:rPr>
        <w:t>2</w:t>
      </w:r>
      <w:r>
        <w:t xml:space="preserve">. </w:t>
      </w:r>
      <w:r w:rsidRPr="00640272">
        <w:t>Nebytový priestor</w:t>
      </w:r>
      <w:r>
        <w:t xml:space="preserve"> poz</w:t>
      </w:r>
      <w:r w:rsidRPr="00640272">
        <w:t>ostáva z obchodného priestoru, kuchynky, hygienického zázemia a skladových priestorov.</w:t>
      </w:r>
    </w:p>
    <w:p w:rsidR="006F75B8" w:rsidRDefault="006F75B8" w:rsidP="006F75B8">
      <w:pPr>
        <w:pStyle w:val="Zkladntext22"/>
        <w:tabs>
          <w:tab w:val="left" w:pos="360"/>
        </w:tabs>
      </w:pPr>
    </w:p>
    <w:p w:rsidR="006F75B8" w:rsidRDefault="006F75B8" w:rsidP="006F75B8">
      <w:pPr>
        <w:pStyle w:val="Zkladntext22"/>
        <w:tabs>
          <w:tab w:val="left" w:pos="360"/>
        </w:tabs>
      </w:pPr>
      <w:r>
        <w:t>3. Nájomca bude prenajaté nebytové priestory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6F75B8" w:rsidRDefault="006F75B8" w:rsidP="006F75B8">
      <w:pPr>
        <w:pStyle w:val="Zkladntext22"/>
        <w:tabs>
          <w:tab w:val="left" w:pos="360"/>
        </w:tabs>
      </w:pPr>
      <w:r>
        <w:t xml:space="preserve">                                                                    </w:t>
      </w:r>
    </w:p>
    <w:p w:rsidR="00330DA1" w:rsidRDefault="00B80BB4" w:rsidP="00B80BB4">
      <w:pPr>
        <w:pStyle w:val="Zkladntext21"/>
        <w:tabs>
          <w:tab w:val="left" w:pos="360"/>
        </w:tabs>
      </w:pPr>
      <w:r>
        <w:t xml:space="preserve">                                                                  </w:t>
      </w:r>
    </w:p>
    <w:p w:rsidR="00B80BB4" w:rsidRPr="008532FD" w:rsidRDefault="00330DA1" w:rsidP="00B80BB4">
      <w:pPr>
        <w:pStyle w:val="Zkladntext21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</w:t>
      </w:r>
      <w:r w:rsidR="00B80BB4">
        <w:t xml:space="preserve">        </w:t>
      </w:r>
      <w:r w:rsidR="00B80BB4" w:rsidRPr="008532FD">
        <w:rPr>
          <w:b/>
          <w:szCs w:val="24"/>
        </w:rPr>
        <w:t>Čl. II</w:t>
      </w:r>
    </w:p>
    <w:p w:rsidR="00B80BB4" w:rsidRPr="008532FD" w:rsidRDefault="00B80BB4" w:rsidP="00B80BB4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B80BB4" w:rsidRDefault="00B80BB4" w:rsidP="00B80BB4">
      <w:pPr>
        <w:pStyle w:val="Nadpis2"/>
        <w:jc w:val="center"/>
        <w:rPr>
          <w:b w:val="0"/>
        </w:rPr>
      </w:pPr>
    </w:p>
    <w:p w:rsidR="00B80BB4" w:rsidRDefault="00B80BB4" w:rsidP="00B80BB4">
      <w:pPr>
        <w:pStyle w:val="Zkladntext21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</w:t>
      </w:r>
      <w:r w:rsidR="00330DA1">
        <w:t>08</w:t>
      </w:r>
      <w:r>
        <w:t>.202</w:t>
      </w:r>
      <w:r w:rsidR="00330DA1">
        <w:t>2</w:t>
      </w:r>
      <w:r>
        <w:t xml:space="preserve"> za dodržania dohodnutých zmluvných podmienok.</w:t>
      </w:r>
    </w:p>
    <w:p w:rsidR="00B80BB4" w:rsidRDefault="00B80BB4" w:rsidP="00B80BB4"/>
    <w:p w:rsidR="006F75B8" w:rsidRPr="006706F8" w:rsidRDefault="006F75B8" w:rsidP="006F75B8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6F75B8" w:rsidRDefault="006F75B8" w:rsidP="006F75B8"/>
    <w:p w:rsidR="006F75B8" w:rsidRDefault="006F75B8" w:rsidP="006F75B8">
      <w:pPr>
        <w:pStyle w:val="Zkladntext32"/>
        <w:tabs>
          <w:tab w:val="left" w:pos="360"/>
        </w:tabs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písm. aa)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>podlahovej plochy.  Ročné nájomné za celkovú prenajatú plochu 83,0 m</w:t>
      </w:r>
      <w:r>
        <w:rPr>
          <w:vertAlign w:val="superscript"/>
        </w:rPr>
        <w:t>2</w:t>
      </w:r>
      <w:r>
        <w:t xml:space="preserve"> činí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</w:t>
      </w:r>
      <w:r>
        <w:rPr>
          <w:b/>
        </w:rPr>
        <w:t xml:space="preserve"> 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Mesačné nájomné predstavuje </w:t>
      </w:r>
      <w:r>
        <w:rPr>
          <w:b/>
        </w:rPr>
        <w:t>....................</w:t>
      </w:r>
      <w:r w:rsidRPr="004B3D10">
        <w:rPr>
          <w:b/>
        </w:rPr>
        <w:t>EUR</w:t>
      </w:r>
      <w:r>
        <w:rPr>
          <w:b/>
        </w:rPr>
        <w:t xml:space="preserve"> </w:t>
      </w:r>
      <w:r w:rsidRPr="00A400CD">
        <w:rPr>
          <w:b/>
          <w:i/>
          <w:sz w:val="22"/>
          <w:szCs w:val="22"/>
        </w:rPr>
        <w:t>(doplní záujemca o</w:t>
      </w:r>
      <w:r>
        <w:rPr>
          <w:b/>
          <w:i/>
          <w:sz w:val="22"/>
          <w:szCs w:val="22"/>
        </w:rPr>
        <w:t> prenájom, t.j. ročné nájomné:12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Prenajímateľ nie je platcom DPH.</w:t>
      </w:r>
    </w:p>
    <w:p w:rsidR="006F75B8" w:rsidRDefault="006F75B8" w:rsidP="006F75B8">
      <w:pPr>
        <w:pStyle w:val="Zkladntext32"/>
        <w:tabs>
          <w:tab w:val="left" w:pos="360"/>
        </w:tabs>
        <w:jc w:val="both"/>
      </w:pPr>
    </w:p>
    <w:p w:rsidR="00330DA1" w:rsidRDefault="006F75B8" w:rsidP="00330DA1">
      <w:pPr>
        <w:pStyle w:val="BodyText3"/>
        <w:tabs>
          <w:tab w:val="left" w:pos="360"/>
        </w:tabs>
        <w:jc w:val="both"/>
      </w:pPr>
      <w:r w:rsidRPr="006F75B8">
        <w:t>2. Nájomné je splatné mesačne vopred na základe doručenej faktúry, najneskôr do 25. dňa aktuálneho mesiaca. Nájomca je povinný uhradiť nájomné na účet Prenajímateľa.</w:t>
      </w:r>
      <w:r w:rsidR="00330DA1">
        <w:t xml:space="preserve"> </w:t>
      </w:r>
      <w:r w:rsidR="00330DA1">
        <w:t>Nájomné za 08/2022 je splatné do 7 dní odo dňa uzatvorenia Nájomnej zmluvy. Ďalšie nájomné za 09/2022 je splatné do 25.08.2022.</w:t>
      </w:r>
    </w:p>
    <w:p w:rsidR="006F75B8" w:rsidRPr="006F75B8" w:rsidRDefault="006F75B8" w:rsidP="006F75B8">
      <w:pPr>
        <w:pStyle w:val="Zkladntext32"/>
        <w:tabs>
          <w:tab w:val="left" w:pos="360"/>
        </w:tabs>
        <w:jc w:val="both"/>
      </w:pPr>
    </w:p>
    <w:p w:rsidR="006F75B8" w:rsidRPr="006F75B8" w:rsidRDefault="006F75B8" w:rsidP="006F75B8">
      <w:pPr>
        <w:pStyle w:val="Zkladntext32"/>
        <w:jc w:val="both"/>
      </w:pP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6F75B8" w:rsidRPr="006F75B8" w:rsidRDefault="006F75B8" w:rsidP="006F75B8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6F75B8" w:rsidRDefault="006F75B8" w:rsidP="006F75B8">
      <w:pPr>
        <w:pStyle w:val="Zkladntext32"/>
        <w:tabs>
          <w:tab w:val="left" w:pos="360"/>
        </w:tabs>
        <w:jc w:val="both"/>
      </w:pPr>
      <w:r>
        <w:t xml:space="preserve"> </w:t>
      </w: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330DA1" w:rsidRDefault="00330DA1" w:rsidP="00330DA1">
      <w:pPr>
        <w:pStyle w:val="Zkladntext32"/>
        <w:tabs>
          <w:tab w:val="left" w:pos="360"/>
        </w:tabs>
        <w:jc w:val="center"/>
        <w:rPr>
          <w:szCs w:val="24"/>
        </w:rPr>
      </w:pPr>
      <w:r>
        <w:rPr>
          <w:szCs w:val="24"/>
        </w:rPr>
        <w:t>-3-</w:t>
      </w:r>
    </w:p>
    <w:p w:rsidR="00330DA1" w:rsidRDefault="00330DA1" w:rsidP="006F75B8">
      <w:pPr>
        <w:pStyle w:val="Zkladntext32"/>
        <w:tabs>
          <w:tab w:val="left" w:pos="360"/>
        </w:tabs>
        <w:jc w:val="center"/>
        <w:rPr>
          <w:b/>
          <w:szCs w:val="24"/>
        </w:rPr>
      </w:pPr>
    </w:p>
    <w:p w:rsidR="006F75B8" w:rsidRPr="006706F8" w:rsidRDefault="006F75B8" w:rsidP="006F75B8">
      <w:pPr>
        <w:pStyle w:val="Zkladntext32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6F75B8" w:rsidRDefault="006F75B8" w:rsidP="006F75B8">
      <w:pPr>
        <w:jc w:val="both"/>
      </w:pPr>
    </w:p>
    <w:p w:rsidR="006F75B8" w:rsidRPr="00330DA1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 xml:space="preserve">, </w:t>
      </w:r>
      <w:r w:rsidR="00330DA1">
        <w:rPr>
          <w:szCs w:val="24"/>
        </w:rPr>
        <w:t xml:space="preserve">elektrickú energiu, </w:t>
      </w:r>
      <w:r w:rsidRPr="005B4D62">
        <w:rPr>
          <w:szCs w:val="24"/>
        </w:rPr>
        <w:t>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</w:t>
      </w:r>
      <w:r w:rsidRPr="00330DA1">
        <w:rPr>
          <w:szCs w:val="24"/>
        </w:rPr>
        <w:t>podľa pomeru prenajatej plochy k celkovej ploche a v prípade elektriny a vodného-stočného podľa predpokladanej spotreby. Rozpis zálohových platieť tvorí prílohu k tejto Zmluve.</w:t>
      </w:r>
    </w:p>
    <w:p w:rsidR="006F75B8" w:rsidRPr="007C25F8" w:rsidRDefault="006F75B8" w:rsidP="006F75B8">
      <w:pPr>
        <w:pStyle w:val="Zkladntext32"/>
        <w:tabs>
          <w:tab w:val="left" w:pos="360"/>
        </w:tabs>
        <w:jc w:val="both"/>
        <w:rPr>
          <w:szCs w:val="24"/>
        </w:rPr>
      </w:pPr>
    </w:p>
    <w:p w:rsidR="006F75B8" w:rsidRPr="00EE6BCF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6F75B8" w:rsidRPr="00EE6BCF" w:rsidRDefault="006F75B8" w:rsidP="006F75B8">
      <w:pPr>
        <w:pStyle w:val="Zkladntext32"/>
        <w:tabs>
          <w:tab w:val="left" w:pos="360"/>
        </w:tabs>
        <w:jc w:val="both"/>
        <w:rPr>
          <w:szCs w:val="24"/>
        </w:rPr>
      </w:pPr>
    </w:p>
    <w:p w:rsidR="006F75B8" w:rsidRPr="00A725A3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Pr="00A725A3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6F75B8" w:rsidRDefault="006F75B8" w:rsidP="006F75B8">
      <w:pPr>
        <w:pStyle w:val="Odsekzoznamu"/>
      </w:pPr>
    </w:p>
    <w:p w:rsidR="006F75B8" w:rsidRPr="007C25F8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Default="006F75B8" w:rsidP="006F75B8">
      <w:pPr>
        <w:pStyle w:val="Zkladntext32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6F75B8" w:rsidRDefault="006F75B8" w:rsidP="006F75B8">
      <w:pPr>
        <w:pStyle w:val="Zkladntext22"/>
        <w:jc w:val="center"/>
      </w:pPr>
    </w:p>
    <w:p w:rsidR="006F75B8" w:rsidRPr="006706F8" w:rsidRDefault="006F75B8" w:rsidP="006F75B8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6F75B8" w:rsidRDefault="006F75B8" w:rsidP="006F75B8"/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6F75B8" w:rsidRDefault="006F75B8" w:rsidP="006F75B8">
      <w:pPr>
        <w:pStyle w:val="Zkladntext32"/>
        <w:tabs>
          <w:tab w:val="left" w:pos="360"/>
        </w:tabs>
        <w:jc w:val="both"/>
      </w:pPr>
    </w:p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330DA1" w:rsidRPr="00941513" w:rsidRDefault="00330DA1" w:rsidP="00330DA1">
      <w:pPr>
        <w:pStyle w:val="Zkladntext32"/>
        <w:tabs>
          <w:tab w:val="left" w:pos="284"/>
        </w:tabs>
        <w:jc w:val="center"/>
        <w:rPr>
          <w:szCs w:val="24"/>
        </w:rPr>
      </w:pPr>
      <w:r>
        <w:lastRenderedPageBreak/>
        <w:t>-4-</w:t>
      </w:r>
    </w:p>
    <w:p w:rsidR="00330DA1" w:rsidRPr="00941513" w:rsidRDefault="00330DA1" w:rsidP="00330DA1">
      <w:pPr>
        <w:pStyle w:val="Zkladntext32"/>
        <w:tabs>
          <w:tab w:val="left" w:pos="284"/>
        </w:tabs>
        <w:ind w:left="1778"/>
        <w:jc w:val="both"/>
        <w:rPr>
          <w:szCs w:val="24"/>
        </w:rPr>
      </w:pPr>
    </w:p>
    <w:p w:rsidR="006F75B8" w:rsidRDefault="006F75B8" w:rsidP="006F75B8">
      <w:pPr>
        <w:pStyle w:val="Zkladntext32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6F75B8" w:rsidRDefault="006F75B8" w:rsidP="006F75B8">
      <w:pPr>
        <w:pStyle w:val="Zkladntext32"/>
        <w:tabs>
          <w:tab w:val="left" w:pos="360"/>
        </w:tabs>
        <w:jc w:val="both"/>
      </w:pPr>
    </w:p>
    <w:p w:rsidR="006F75B8" w:rsidRPr="006706F8" w:rsidRDefault="006F75B8" w:rsidP="006F75B8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6F75B8" w:rsidRPr="006706F8" w:rsidRDefault="006F75B8" w:rsidP="006F75B8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6F75B8" w:rsidRDefault="006F75B8" w:rsidP="006F75B8"/>
    <w:p w:rsidR="006F75B8" w:rsidRPr="00330DA1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330DA1" w:rsidRPr="006F75B8" w:rsidRDefault="00330DA1" w:rsidP="00330DA1">
      <w:pPr>
        <w:pStyle w:val="Zkladntext32"/>
        <w:tabs>
          <w:tab w:val="left" w:pos="284"/>
        </w:tabs>
        <w:jc w:val="both"/>
        <w:rPr>
          <w:szCs w:val="24"/>
        </w:rPr>
      </w:pPr>
    </w:p>
    <w:p w:rsidR="006F75B8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6F75B8" w:rsidRDefault="006F75B8" w:rsidP="006F75B8">
      <w:pPr>
        <w:pStyle w:val="Odsekzoznamu"/>
        <w:rPr>
          <w:szCs w:val="24"/>
        </w:rPr>
      </w:pPr>
    </w:p>
    <w:p w:rsidR="006F75B8" w:rsidRPr="006F75B8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6F75B8">
        <w:rPr>
          <w:szCs w:val="24"/>
        </w:rPr>
        <w:t>Nájomca je povinný najmä :</w:t>
      </w:r>
    </w:p>
    <w:p w:rsidR="006F75B8" w:rsidRPr="006F75B8" w:rsidRDefault="006F75B8" w:rsidP="006F75B8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 xml:space="preserve">zabezpečovať zdravotnú </w:t>
      </w:r>
      <w:proofErr w:type="spellStart"/>
      <w:r w:rsidRPr="006F75B8">
        <w:rPr>
          <w:rFonts w:ascii="Times New Roman" w:hAnsi="Times New Roman" w:cs="Times New Roman"/>
          <w:sz w:val="24"/>
          <w:szCs w:val="24"/>
        </w:rPr>
        <w:t>nezávadnosť</w:t>
      </w:r>
      <w:proofErr w:type="spellEnd"/>
      <w:r w:rsidRPr="006F75B8">
        <w:rPr>
          <w:rFonts w:ascii="Times New Roman" w:hAnsi="Times New Roman" w:cs="Times New Roman"/>
          <w:sz w:val="24"/>
          <w:szCs w:val="24"/>
        </w:rPr>
        <w:t xml:space="preserve"> miestností z hľadiska povrchových úprav (steny, stropy, pod</w:t>
      </w:r>
      <w:r w:rsidRPr="006F75B8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6F75B8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6F75B8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6F75B8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6F75B8" w:rsidRPr="006F75B8" w:rsidRDefault="006F75B8" w:rsidP="006F75B8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6F75B8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6F75B8" w:rsidRPr="006F75B8" w:rsidRDefault="006F75B8" w:rsidP="006F75B8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rFonts w:ascii="Times New Roman" w:hAnsi="Times New Roman" w:cs="Times New Roman"/>
          <w:sz w:val="24"/>
          <w:szCs w:val="24"/>
        </w:rPr>
      </w:pPr>
    </w:p>
    <w:p w:rsidR="006F75B8" w:rsidRPr="006F75B8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6F75B8">
        <w:t>Nájomca je oprávnený prenechať nebytové priestory do podnájmu inej právnickej alebo fyzickej osobe len so súhlasom Prenajímateľa.</w:t>
      </w:r>
      <w:r w:rsidRPr="006F75B8">
        <w:rPr>
          <w:szCs w:val="24"/>
        </w:rPr>
        <w:t xml:space="preserve">                                                           </w:t>
      </w:r>
    </w:p>
    <w:p w:rsidR="006F75B8" w:rsidRPr="006F75B8" w:rsidRDefault="006F75B8" w:rsidP="006F75B8">
      <w:pPr>
        <w:pStyle w:val="Odsekzoznamu"/>
      </w:pPr>
    </w:p>
    <w:p w:rsidR="006F75B8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6F75B8" w:rsidRDefault="006F75B8" w:rsidP="006F75B8">
      <w:pPr>
        <w:pStyle w:val="Odsekzoznamu"/>
      </w:pPr>
    </w:p>
    <w:p w:rsidR="006F75B8" w:rsidRDefault="006F75B8" w:rsidP="006F75B8">
      <w:pPr>
        <w:pStyle w:val="Zkladntext32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6F75B8" w:rsidRDefault="006F75B8" w:rsidP="006F75B8">
      <w:pPr>
        <w:pStyle w:val="Zkladntext32"/>
        <w:tabs>
          <w:tab w:val="left" w:pos="284"/>
        </w:tabs>
        <w:jc w:val="both"/>
      </w:pPr>
    </w:p>
    <w:p w:rsidR="006F75B8" w:rsidRPr="007D2B55" w:rsidRDefault="006F75B8" w:rsidP="006F75B8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6F75B8" w:rsidRPr="007D2B55" w:rsidRDefault="006F75B8" w:rsidP="006F75B8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6F75B8" w:rsidRDefault="006F75B8" w:rsidP="006F75B8">
      <w:pPr>
        <w:rPr>
          <w:b/>
        </w:rPr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6F75B8" w:rsidRDefault="006F75B8" w:rsidP="006F75B8">
      <w:pPr>
        <w:ind w:left="284"/>
        <w:jc w:val="both"/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6F75B8" w:rsidRDefault="006F75B8" w:rsidP="006F75B8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6F75B8" w:rsidRPr="0046540F" w:rsidRDefault="006F75B8" w:rsidP="006F75B8">
      <w:pPr>
        <w:jc w:val="both"/>
      </w:pPr>
    </w:p>
    <w:p w:rsidR="006F75B8" w:rsidRDefault="006F75B8" w:rsidP="006F75B8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6F75B8" w:rsidRDefault="006F75B8" w:rsidP="006F75B8">
      <w:pPr>
        <w:ind w:left="284"/>
        <w:jc w:val="both"/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Pr="00B83EA6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6F75B8" w:rsidRDefault="006F75B8" w:rsidP="006F75B8">
      <w:pPr>
        <w:pStyle w:val="Odsekzoznamu"/>
        <w:rPr>
          <w:sz w:val="24"/>
        </w:rPr>
      </w:pPr>
    </w:p>
    <w:p w:rsidR="00330DA1" w:rsidRDefault="00330DA1" w:rsidP="00330DA1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-6-</w:t>
      </w:r>
    </w:p>
    <w:p w:rsidR="00330DA1" w:rsidRDefault="00330DA1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pStyle w:val="Odsekzoznamu"/>
        <w:rPr>
          <w:sz w:val="24"/>
        </w:rPr>
      </w:pPr>
    </w:p>
    <w:p w:rsidR="006F75B8" w:rsidRDefault="006F75B8" w:rsidP="006F75B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6F75B8" w:rsidRDefault="006F75B8" w:rsidP="006F75B8">
      <w:pPr>
        <w:pStyle w:val="Odsekzoznamu"/>
        <w:rPr>
          <w:sz w:val="24"/>
        </w:rPr>
      </w:pPr>
    </w:p>
    <w:p w:rsidR="006F75B8" w:rsidRPr="00446CF4" w:rsidRDefault="006F75B8" w:rsidP="006F75B8">
      <w:pPr>
        <w:jc w:val="center"/>
        <w:rPr>
          <w:b/>
        </w:rPr>
      </w:pPr>
      <w:r w:rsidRPr="00446CF4">
        <w:rPr>
          <w:b/>
        </w:rPr>
        <w:t>Čl. VIII.</w:t>
      </w:r>
    </w:p>
    <w:p w:rsidR="006F75B8" w:rsidRPr="00446CF4" w:rsidRDefault="006F75B8" w:rsidP="006F75B8">
      <w:pPr>
        <w:pStyle w:val="Zkladntext2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6F75B8" w:rsidRPr="00640272" w:rsidRDefault="006F75B8" w:rsidP="006F75B8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6F75B8" w:rsidRPr="00640272" w:rsidRDefault="006F75B8" w:rsidP="006F75B8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6F75B8" w:rsidRDefault="006F75B8" w:rsidP="006F75B8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6F75B8" w:rsidRPr="00640272" w:rsidRDefault="006F75B8" w:rsidP="006F75B8">
      <w:pPr>
        <w:pStyle w:val="Zkladntext"/>
        <w:spacing w:after="0"/>
        <w:jc w:val="both"/>
      </w:pPr>
    </w:p>
    <w:p w:rsidR="006F75B8" w:rsidRPr="00640272" w:rsidRDefault="006F75B8" w:rsidP="006F75B8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6F75B8" w:rsidRDefault="006F75B8" w:rsidP="006F75B8">
      <w:pPr>
        <w:pStyle w:val="Zkladntext"/>
        <w:jc w:val="both"/>
      </w:pPr>
    </w:p>
    <w:p w:rsidR="006F75B8" w:rsidRPr="00640272" w:rsidRDefault="006F75B8" w:rsidP="006F75B8">
      <w:pPr>
        <w:pStyle w:val="Zkladntext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6F75B8" w:rsidRPr="00640272" w:rsidRDefault="006F75B8" w:rsidP="006F75B8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6F75B8" w:rsidRPr="00640272" w:rsidRDefault="006F75B8" w:rsidP="006F75B8">
      <w:pPr>
        <w:pStyle w:val="Zkladntext"/>
      </w:pPr>
    </w:p>
    <w:p w:rsidR="006F75B8" w:rsidRPr="00446CF4" w:rsidRDefault="006F75B8" w:rsidP="006F75B8">
      <w:pPr>
        <w:jc w:val="center"/>
        <w:rPr>
          <w:b/>
        </w:rPr>
      </w:pPr>
      <w:r w:rsidRPr="00446CF4">
        <w:rPr>
          <w:b/>
        </w:rPr>
        <w:t>Čl. IX.</w:t>
      </w:r>
    </w:p>
    <w:p w:rsidR="006F75B8" w:rsidRPr="00446CF4" w:rsidRDefault="006F75B8" w:rsidP="006F75B8">
      <w:pPr>
        <w:pStyle w:val="Zkladntext2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6F75B8" w:rsidRPr="00640272" w:rsidRDefault="006F75B8" w:rsidP="006F75B8">
      <w:pPr>
        <w:pStyle w:val="Zkladntext22"/>
      </w:pP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330DA1" w:rsidRDefault="00330DA1" w:rsidP="00330DA1">
      <w:pPr>
        <w:pStyle w:val="Zkladntext"/>
        <w:tabs>
          <w:tab w:val="left" w:pos="360"/>
        </w:tabs>
        <w:jc w:val="center"/>
      </w:pPr>
      <w:r>
        <w:lastRenderedPageBreak/>
        <w:t>-7-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6F75B8" w:rsidRDefault="006F75B8" w:rsidP="006F75B8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bookmarkStart w:id="0" w:name="_GoBack"/>
      <w:bookmarkEnd w:id="0"/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6F75B8" w:rsidRPr="00640272" w:rsidRDefault="006F75B8" w:rsidP="006F75B8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</w:pPr>
    </w:p>
    <w:p w:rsidR="006F75B8" w:rsidRPr="00640272" w:rsidRDefault="006F75B8" w:rsidP="006F75B8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6F75B8" w:rsidRDefault="006F75B8" w:rsidP="006F75B8">
      <w:pPr>
        <w:pStyle w:val="Zkladntext"/>
      </w:pPr>
    </w:p>
    <w:p w:rsidR="006F75B8" w:rsidRDefault="006F75B8" w:rsidP="006F75B8">
      <w:pPr>
        <w:pStyle w:val="Zkladntext"/>
      </w:pPr>
    </w:p>
    <w:p w:rsidR="00A14A3E" w:rsidRPr="00640272" w:rsidRDefault="00A14A3E" w:rsidP="006F75B8">
      <w:pPr>
        <w:pStyle w:val="Zkladntext"/>
      </w:pPr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6F75B8" w:rsidRDefault="006F75B8" w:rsidP="006F75B8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6F75B8" w:rsidRPr="00640272" w:rsidRDefault="006F75B8" w:rsidP="006F75B8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6F75B8" w:rsidRPr="00640272" w:rsidRDefault="006F75B8" w:rsidP="006F75B8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6F75B8" w:rsidRPr="00640272" w:rsidRDefault="006F75B8" w:rsidP="006F75B8">
      <w:pPr>
        <w:pStyle w:val="tandard"/>
        <w:suppressLineNumbers/>
        <w:jc w:val="center"/>
        <w:rPr>
          <w:szCs w:val="24"/>
        </w:rPr>
      </w:pPr>
    </w:p>
    <w:p w:rsidR="006F75B8" w:rsidRPr="00640272" w:rsidRDefault="006F75B8" w:rsidP="006F75B8">
      <w:pPr>
        <w:pStyle w:val="tandard"/>
        <w:suppressLineNumbers/>
        <w:jc w:val="center"/>
        <w:rPr>
          <w:szCs w:val="24"/>
        </w:rPr>
      </w:pPr>
    </w:p>
    <w:p w:rsidR="006F75B8" w:rsidRDefault="006F75B8" w:rsidP="00B80BB4">
      <w:pPr>
        <w:pStyle w:val="Zkladntext31"/>
        <w:tabs>
          <w:tab w:val="left" w:pos="360"/>
        </w:tabs>
        <w:jc w:val="both"/>
      </w:pPr>
    </w:p>
    <w:p w:rsidR="00B80BB4" w:rsidRDefault="00B80BB4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sectPr w:rsidR="00B80BB4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0E04A1"/>
    <w:rsid w:val="00133BC1"/>
    <w:rsid w:val="00330DA1"/>
    <w:rsid w:val="003C3358"/>
    <w:rsid w:val="00512AF6"/>
    <w:rsid w:val="00521814"/>
    <w:rsid w:val="006F75B8"/>
    <w:rsid w:val="00887489"/>
    <w:rsid w:val="00A14A3E"/>
    <w:rsid w:val="00AA6CE3"/>
    <w:rsid w:val="00B80BB4"/>
    <w:rsid w:val="00BF2E04"/>
    <w:rsid w:val="00CC64AA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22">
    <w:name w:val="Základný text 2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2">
    <w:name w:val="Základný text 32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330DA1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5</cp:revision>
  <cp:lastPrinted>2020-10-27T08:27:00Z</cp:lastPrinted>
  <dcterms:created xsi:type="dcterms:W3CDTF">2020-10-26T14:21:00Z</dcterms:created>
  <dcterms:modified xsi:type="dcterms:W3CDTF">2022-06-21T07:48:00Z</dcterms:modified>
</cp:coreProperties>
</file>